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9654C" w14:textId="6D14987F" w:rsidR="002B69D9" w:rsidRPr="002B69D9" w:rsidRDefault="002B69D9" w:rsidP="002B69D9">
      <w:pPr>
        <w:jc w:val="center"/>
        <w:rPr>
          <w:rFonts w:cs="Arial"/>
          <w:sz w:val="22"/>
          <w:szCs w:val="22"/>
        </w:rPr>
      </w:pPr>
      <w:r w:rsidRPr="002B69D9">
        <w:rPr>
          <w:rFonts w:cs="Arial"/>
          <w:sz w:val="22"/>
          <w:szCs w:val="22"/>
          <w:lang w:val="en-CA"/>
        </w:rPr>
        <w:fldChar w:fldCharType="begin"/>
      </w:r>
      <w:r w:rsidRPr="002B69D9">
        <w:rPr>
          <w:rFonts w:cs="Arial"/>
          <w:sz w:val="22"/>
          <w:szCs w:val="22"/>
          <w:lang w:val="en-CA"/>
        </w:rPr>
        <w:instrText xml:space="preserve"> SEQ CHAPTER \h \r 1</w:instrText>
      </w:r>
      <w:r w:rsidRPr="002B69D9">
        <w:rPr>
          <w:rFonts w:cs="Arial"/>
          <w:sz w:val="22"/>
          <w:szCs w:val="22"/>
          <w:lang w:val="en-CA"/>
        </w:rPr>
        <w:fldChar w:fldCharType="end"/>
      </w:r>
      <w:r w:rsidR="005E09A2">
        <w:rPr>
          <w:rFonts w:cs="Arial"/>
          <w:b/>
          <w:bCs/>
          <w:sz w:val="22"/>
          <w:szCs w:val="22"/>
        </w:rPr>
        <w:t>ORDINANCE NO. 2020-15</w:t>
      </w:r>
      <w:r w:rsidRPr="002B69D9">
        <w:rPr>
          <w:rFonts w:cs="Arial"/>
          <w:b/>
          <w:bCs/>
          <w:sz w:val="22"/>
          <w:szCs w:val="22"/>
        </w:rPr>
        <w:t xml:space="preserve">      </w:t>
      </w:r>
    </w:p>
    <w:p w14:paraId="330FEF80" w14:textId="77777777" w:rsidR="002B69D9" w:rsidRPr="002B69D9" w:rsidRDefault="002B69D9" w:rsidP="002B69D9">
      <w:pPr>
        <w:jc w:val="center"/>
        <w:rPr>
          <w:rFonts w:cs="Arial"/>
          <w:sz w:val="22"/>
          <w:szCs w:val="22"/>
        </w:rPr>
      </w:pPr>
    </w:p>
    <w:p w14:paraId="0563C1A4" w14:textId="77777777" w:rsidR="002B69D9" w:rsidRPr="002B69D9" w:rsidRDefault="002B69D9" w:rsidP="002B69D9">
      <w:pPr>
        <w:jc w:val="center"/>
        <w:rPr>
          <w:rFonts w:cs="Arial"/>
          <w:b/>
          <w:bCs/>
          <w:sz w:val="22"/>
          <w:szCs w:val="22"/>
        </w:rPr>
      </w:pPr>
      <w:r w:rsidRPr="002B69D9">
        <w:rPr>
          <w:rFonts w:cs="Arial"/>
          <w:b/>
          <w:bCs/>
          <w:sz w:val="22"/>
          <w:szCs w:val="22"/>
        </w:rPr>
        <w:t xml:space="preserve">ORDINANCE OF THE BOROUGH OF RED BANK, COUNTY OF MONMOUTH, </w:t>
      </w:r>
    </w:p>
    <w:p w14:paraId="342FAEC4" w14:textId="77777777" w:rsidR="002B69D9" w:rsidRPr="002B69D9" w:rsidRDefault="002B69D9" w:rsidP="002B69D9">
      <w:pPr>
        <w:jc w:val="center"/>
        <w:rPr>
          <w:rFonts w:cs="Arial"/>
          <w:b/>
          <w:bCs/>
          <w:sz w:val="22"/>
          <w:szCs w:val="22"/>
        </w:rPr>
      </w:pPr>
      <w:r w:rsidRPr="002B69D9">
        <w:rPr>
          <w:rFonts w:cs="Arial"/>
          <w:b/>
          <w:bCs/>
          <w:sz w:val="22"/>
          <w:szCs w:val="22"/>
        </w:rPr>
        <w:t xml:space="preserve">NEW JERSEY AMENDING AND SUPPLEMENTING CHAPTER 430: LICENSES </w:t>
      </w:r>
    </w:p>
    <w:p w14:paraId="38B0397C" w14:textId="77777777" w:rsidR="002B69D9" w:rsidRPr="002B69D9" w:rsidRDefault="002B69D9" w:rsidP="002B69D9">
      <w:pPr>
        <w:jc w:val="center"/>
        <w:rPr>
          <w:rFonts w:cs="Arial"/>
          <w:b/>
          <w:bCs/>
          <w:sz w:val="22"/>
          <w:szCs w:val="22"/>
        </w:rPr>
      </w:pPr>
      <w:r w:rsidRPr="002B69D9">
        <w:rPr>
          <w:rFonts w:cs="Arial"/>
          <w:b/>
          <w:bCs/>
          <w:sz w:val="22"/>
          <w:szCs w:val="22"/>
        </w:rPr>
        <w:t xml:space="preserve">AND PERMITS, ARTICLE I: BUSINESS LICENSES, AMENDING </w:t>
      </w:r>
    </w:p>
    <w:p w14:paraId="62BC1EAF" w14:textId="245053EC" w:rsidR="002B69D9" w:rsidRPr="002B69D9" w:rsidRDefault="002B69D9" w:rsidP="002B69D9">
      <w:pPr>
        <w:jc w:val="center"/>
        <w:rPr>
          <w:rFonts w:cs="Arial"/>
          <w:b/>
          <w:bCs/>
          <w:sz w:val="22"/>
          <w:szCs w:val="22"/>
        </w:rPr>
      </w:pPr>
      <w:r w:rsidRPr="002B69D9">
        <w:rPr>
          <w:rFonts w:cs="Arial"/>
          <w:b/>
          <w:bCs/>
          <w:sz w:val="22"/>
          <w:szCs w:val="22"/>
        </w:rPr>
        <w:t>SECTION 430-7: FEES ESTABLISHED</w:t>
      </w:r>
    </w:p>
    <w:p w14:paraId="4587950A" w14:textId="77777777" w:rsidR="002B69D9" w:rsidRPr="002B69D9" w:rsidRDefault="002B69D9" w:rsidP="002B69D9">
      <w:pPr>
        <w:spacing w:line="360" w:lineRule="auto"/>
        <w:rPr>
          <w:rFonts w:cs="Arial"/>
          <w:b/>
          <w:bCs/>
          <w:sz w:val="22"/>
          <w:szCs w:val="22"/>
        </w:rPr>
      </w:pPr>
    </w:p>
    <w:p w14:paraId="761DECC0" w14:textId="68078109" w:rsidR="002B69D9" w:rsidRPr="002B69D9" w:rsidRDefault="002B69D9" w:rsidP="002B69D9">
      <w:pPr>
        <w:spacing w:line="360" w:lineRule="auto"/>
        <w:jc w:val="both"/>
        <w:rPr>
          <w:rFonts w:cs="Arial"/>
          <w:sz w:val="22"/>
          <w:szCs w:val="22"/>
        </w:rPr>
      </w:pPr>
      <w:r w:rsidRPr="002B69D9">
        <w:rPr>
          <w:rFonts w:cs="Arial"/>
          <w:b/>
          <w:bCs/>
          <w:sz w:val="22"/>
          <w:szCs w:val="22"/>
        </w:rPr>
        <w:tab/>
        <w:t>WHEREAS</w:t>
      </w:r>
      <w:r w:rsidRPr="002B69D9">
        <w:rPr>
          <w:rFonts w:cs="Arial"/>
          <w:sz w:val="22"/>
          <w:szCs w:val="22"/>
        </w:rPr>
        <w:t>, the Mayor and Council of the Borough of Red Bank have approved an agreement with a new Public Health Services provider which would deem the fee schedule provided by the previous provider as no longer applicable and necessitate the amendment of the fee schedule in the Borough Code;</w:t>
      </w:r>
    </w:p>
    <w:p w14:paraId="75106D1F" w14:textId="77777777" w:rsidR="002B69D9" w:rsidRPr="002B69D9" w:rsidRDefault="002B69D9" w:rsidP="002B69D9">
      <w:pPr>
        <w:spacing w:line="360" w:lineRule="auto"/>
        <w:jc w:val="both"/>
        <w:rPr>
          <w:rFonts w:cs="Arial"/>
          <w:sz w:val="22"/>
          <w:szCs w:val="22"/>
        </w:rPr>
      </w:pPr>
      <w:r w:rsidRPr="002B69D9">
        <w:rPr>
          <w:rFonts w:cs="Arial"/>
          <w:sz w:val="22"/>
          <w:szCs w:val="22"/>
        </w:rPr>
        <w:tab/>
      </w:r>
      <w:r w:rsidRPr="002B69D9">
        <w:rPr>
          <w:rFonts w:cs="Arial"/>
          <w:b/>
          <w:bCs/>
          <w:sz w:val="22"/>
          <w:szCs w:val="22"/>
        </w:rPr>
        <w:t xml:space="preserve">NOW, THEREFORE, BE IT ORDAINED </w:t>
      </w:r>
      <w:r w:rsidRPr="002B69D9">
        <w:rPr>
          <w:rFonts w:cs="Arial"/>
          <w:sz w:val="22"/>
          <w:szCs w:val="22"/>
        </w:rPr>
        <w:t>by the Governing Body of the Borough of Red Bank that Chapter 430: Licenses and Permits, Article I: Business Licenses, is hereby amended and supplemented as follows:</w:t>
      </w:r>
    </w:p>
    <w:p w14:paraId="12372358" w14:textId="77777777" w:rsidR="002B69D9" w:rsidRPr="002B69D9" w:rsidRDefault="002B69D9" w:rsidP="002B69D9">
      <w:pPr>
        <w:spacing w:line="360" w:lineRule="auto"/>
        <w:jc w:val="both"/>
        <w:rPr>
          <w:rFonts w:cs="Arial"/>
          <w:sz w:val="22"/>
          <w:szCs w:val="22"/>
        </w:rPr>
      </w:pPr>
      <w:r w:rsidRPr="002B69D9">
        <w:rPr>
          <w:rFonts w:cs="Arial"/>
          <w:sz w:val="22"/>
          <w:szCs w:val="22"/>
        </w:rPr>
        <w:tab/>
      </w:r>
      <w:r w:rsidRPr="002B69D9">
        <w:rPr>
          <w:rFonts w:cs="Arial"/>
          <w:b/>
          <w:bCs/>
          <w:sz w:val="22"/>
          <w:szCs w:val="22"/>
        </w:rPr>
        <w:t>SECTION ONE:</w:t>
      </w:r>
      <w:r w:rsidRPr="002B69D9">
        <w:rPr>
          <w:rFonts w:cs="Arial"/>
          <w:sz w:val="22"/>
          <w:szCs w:val="22"/>
        </w:rPr>
        <w:t xml:space="preserve"> Article I, Subsection 430-7 is hereby amended and supplemented as follows (</w:t>
      </w:r>
      <w:r w:rsidRPr="002B69D9">
        <w:rPr>
          <w:rFonts w:cs="Arial"/>
          <w:strike/>
          <w:sz w:val="22"/>
          <w:szCs w:val="22"/>
        </w:rPr>
        <w:t>stricken</w:t>
      </w:r>
      <w:r w:rsidRPr="002B69D9">
        <w:rPr>
          <w:rFonts w:cs="Arial"/>
          <w:sz w:val="22"/>
          <w:szCs w:val="22"/>
        </w:rPr>
        <w:t xml:space="preserve"> text denotes deletions, </w:t>
      </w:r>
      <w:r w:rsidRPr="002B69D9">
        <w:rPr>
          <w:rFonts w:cs="Arial"/>
          <w:sz w:val="22"/>
          <w:szCs w:val="22"/>
          <w:u w:val="single"/>
        </w:rPr>
        <w:t>underlined</w:t>
      </w:r>
      <w:r w:rsidRPr="002B69D9">
        <w:rPr>
          <w:rFonts w:cs="Arial"/>
          <w:sz w:val="22"/>
          <w:szCs w:val="22"/>
        </w:rPr>
        <w:t xml:space="preserve"> text denote additions):</w:t>
      </w:r>
    </w:p>
    <w:p w14:paraId="68539BCB" w14:textId="3F8150C9" w:rsidR="002B69D9" w:rsidRPr="002B69D9" w:rsidRDefault="002B69D9" w:rsidP="002B69D9">
      <w:pPr>
        <w:spacing w:line="360" w:lineRule="auto"/>
        <w:rPr>
          <w:rFonts w:cs="Arial"/>
          <w:b/>
          <w:bCs/>
          <w:sz w:val="22"/>
          <w:szCs w:val="22"/>
        </w:rPr>
      </w:pPr>
      <w:r w:rsidRPr="002B69D9">
        <w:rPr>
          <w:rFonts w:cs="Arial"/>
          <w:b/>
          <w:bCs/>
          <w:sz w:val="22"/>
          <w:szCs w:val="22"/>
        </w:rPr>
        <w:tab/>
      </w:r>
      <w:proofErr w:type="gramStart"/>
      <w:r w:rsidRPr="002B69D9">
        <w:rPr>
          <w:rFonts w:cs="Arial"/>
          <w:b/>
          <w:bCs/>
          <w:sz w:val="22"/>
          <w:szCs w:val="22"/>
        </w:rPr>
        <w:t>§  430</w:t>
      </w:r>
      <w:proofErr w:type="gramEnd"/>
      <w:r w:rsidRPr="002B69D9">
        <w:rPr>
          <w:rFonts w:cs="Arial"/>
          <w:b/>
          <w:bCs/>
          <w:sz w:val="22"/>
          <w:szCs w:val="22"/>
        </w:rPr>
        <w:t>-7 Fees Established.</w:t>
      </w:r>
    </w:p>
    <w:p w14:paraId="6A8C96C1" w14:textId="77777777" w:rsidR="002B69D9" w:rsidRPr="002B69D9" w:rsidRDefault="002B69D9" w:rsidP="002B69D9">
      <w:pPr>
        <w:spacing w:line="360" w:lineRule="auto"/>
        <w:ind w:firstLine="720"/>
        <w:rPr>
          <w:rFonts w:cs="Arial"/>
          <w:bCs/>
          <w:sz w:val="22"/>
          <w:szCs w:val="22"/>
        </w:rPr>
      </w:pPr>
      <w:r w:rsidRPr="002B69D9">
        <w:rPr>
          <w:rFonts w:cs="Arial"/>
          <w:bCs/>
          <w:sz w:val="22"/>
          <w:szCs w:val="22"/>
        </w:rPr>
        <w:t>License fees shall be as follows:</w:t>
      </w:r>
    </w:p>
    <w:p w14:paraId="2E806C6A" w14:textId="6C51F01D" w:rsidR="002B69D9" w:rsidRPr="002B69D9" w:rsidRDefault="002B69D9" w:rsidP="002B69D9">
      <w:pPr>
        <w:spacing w:line="360" w:lineRule="auto"/>
        <w:ind w:firstLine="720"/>
        <w:rPr>
          <w:rFonts w:cs="Arial"/>
          <w:bCs/>
          <w:sz w:val="22"/>
          <w:szCs w:val="22"/>
        </w:rPr>
      </w:pPr>
      <w:r w:rsidRPr="002B69D9">
        <w:rPr>
          <w:rFonts w:cs="Arial"/>
          <w:b/>
          <w:bCs/>
          <w:sz w:val="22"/>
          <w:szCs w:val="22"/>
        </w:rPr>
        <w:t>A. thru H. </w:t>
      </w:r>
      <w:r>
        <w:rPr>
          <w:rFonts w:cs="Arial"/>
          <w:b/>
          <w:bCs/>
          <w:sz w:val="22"/>
          <w:szCs w:val="22"/>
        </w:rPr>
        <w:tab/>
      </w:r>
      <w:r w:rsidRPr="002B69D9">
        <w:rPr>
          <w:rFonts w:cs="Arial"/>
          <w:bCs/>
          <w:sz w:val="22"/>
          <w:szCs w:val="22"/>
        </w:rPr>
        <w:t>[</w:t>
      </w:r>
      <w:r w:rsidRPr="002B69D9">
        <w:rPr>
          <w:rFonts w:cs="Arial"/>
          <w:bCs/>
          <w:i/>
          <w:sz w:val="22"/>
          <w:szCs w:val="22"/>
        </w:rPr>
        <w:t>Unchanged</w:t>
      </w:r>
      <w:r w:rsidRPr="002B69D9">
        <w:rPr>
          <w:rFonts w:cs="Arial"/>
          <w:bCs/>
          <w:sz w:val="22"/>
          <w:szCs w:val="22"/>
        </w:rPr>
        <w:t>]</w:t>
      </w:r>
    </w:p>
    <w:p w14:paraId="0FCBF37B" w14:textId="127B57FA" w:rsidR="002B69D9" w:rsidRPr="002B69D9" w:rsidRDefault="002B69D9" w:rsidP="002B69D9">
      <w:pPr>
        <w:spacing w:line="360" w:lineRule="auto"/>
        <w:ind w:firstLine="720"/>
        <w:rPr>
          <w:rFonts w:cs="Arial"/>
          <w:bCs/>
          <w:sz w:val="22"/>
          <w:szCs w:val="22"/>
        </w:rPr>
      </w:pPr>
      <w:r w:rsidRPr="002B69D9">
        <w:rPr>
          <w:rFonts w:cs="Arial"/>
          <w:b/>
          <w:bCs/>
          <w:sz w:val="22"/>
          <w:szCs w:val="22"/>
        </w:rPr>
        <w:t>I.</w:t>
      </w:r>
      <w:r w:rsidRPr="002B69D9">
        <w:rPr>
          <w:rFonts w:cs="Arial"/>
          <w:bCs/>
          <w:sz w:val="22"/>
          <w:szCs w:val="22"/>
        </w:rPr>
        <w:t xml:space="preserve"> Retail food establishments.</w:t>
      </w:r>
    </w:p>
    <w:p w14:paraId="1E48686A" w14:textId="69F8E245" w:rsidR="002B69D9" w:rsidRPr="002B69D9" w:rsidRDefault="002B69D9" w:rsidP="002B69D9">
      <w:pPr>
        <w:spacing w:line="360" w:lineRule="auto"/>
        <w:ind w:firstLine="720"/>
        <w:rPr>
          <w:rFonts w:cs="Arial"/>
          <w:bCs/>
          <w:sz w:val="22"/>
          <w:szCs w:val="22"/>
        </w:rPr>
      </w:pPr>
      <w:r w:rsidRPr="002B69D9">
        <w:rPr>
          <w:rFonts w:cs="Arial"/>
          <w:b/>
          <w:bCs/>
          <w:sz w:val="22"/>
          <w:szCs w:val="22"/>
        </w:rPr>
        <w:t>(1) </w:t>
      </w:r>
      <w:r w:rsidRPr="002B69D9">
        <w:rPr>
          <w:rFonts w:cs="Arial"/>
          <w:bCs/>
          <w:sz w:val="22"/>
          <w:szCs w:val="22"/>
        </w:rPr>
        <w:t xml:space="preserve">Retail food establishments on the basis of the following:  </w:t>
      </w:r>
    </w:p>
    <w:p w14:paraId="5ADA5CDC" w14:textId="77777777" w:rsidR="002B69D9" w:rsidRPr="002B69D9" w:rsidRDefault="002B69D9" w:rsidP="002B69D9">
      <w:pPr>
        <w:spacing w:line="360" w:lineRule="auto"/>
        <w:ind w:left="1080"/>
        <w:rPr>
          <w:rFonts w:cs="Arial"/>
          <w:bCs/>
          <w:strike/>
          <w:sz w:val="22"/>
          <w:szCs w:val="22"/>
        </w:rPr>
      </w:pPr>
      <w:r w:rsidRPr="002B69D9">
        <w:rPr>
          <w:rFonts w:cs="Arial"/>
          <w:bCs/>
          <w:sz w:val="22"/>
          <w:szCs w:val="22"/>
        </w:rPr>
        <w:tab/>
      </w:r>
      <w:r w:rsidRPr="002B69D9">
        <w:rPr>
          <w:rFonts w:cs="Arial"/>
          <w:bCs/>
          <w:strike/>
          <w:sz w:val="22"/>
          <w:szCs w:val="22"/>
        </w:rPr>
        <w:t>Square Feet</w:t>
      </w:r>
      <w:r w:rsidRPr="002B69D9">
        <w:rPr>
          <w:rFonts w:cs="Arial"/>
          <w:bCs/>
          <w:strike/>
          <w:sz w:val="22"/>
          <w:szCs w:val="22"/>
        </w:rPr>
        <w:tab/>
      </w:r>
      <w:r w:rsidRPr="002B69D9">
        <w:rPr>
          <w:rFonts w:cs="Arial"/>
          <w:bCs/>
          <w:strike/>
          <w:sz w:val="22"/>
          <w:szCs w:val="22"/>
        </w:rPr>
        <w:tab/>
      </w:r>
      <w:r w:rsidRPr="002B69D9">
        <w:rPr>
          <w:rFonts w:cs="Arial"/>
          <w:bCs/>
          <w:strike/>
          <w:sz w:val="22"/>
          <w:szCs w:val="22"/>
        </w:rPr>
        <w:tab/>
      </w:r>
      <w:r w:rsidRPr="002B69D9">
        <w:rPr>
          <w:rFonts w:cs="Arial"/>
          <w:bCs/>
          <w:strike/>
          <w:sz w:val="22"/>
          <w:szCs w:val="22"/>
        </w:rPr>
        <w:tab/>
      </w:r>
      <w:r w:rsidRPr="002B69D9">
        <w:rPr>
          <w:rFonts w:cs="Arial"/>
          <w:bCs/>
          <w:strike/>
          <w:sz w:val="22"/>
          <w:szCs w:val="22"/>
        </w:rPr>
        <w:tab/>
        <w:t>Fee</w:t>
      </w:r>
    </w:p>
    <w:p w14:paraId="0629402A" w14:textId="77777777" w:rsidR="002B69D9" w:rsidRPr="002B69D9" w:rsidRDefault="002B69D9" w:rsidP="002B69D9">
      <w:pPr>
        <w:spacing w:line="360" w:lineRule="auto"/>
        <w:ind w:left="1080"/>
        <w:rPr>
          <w:rFonts w:cs="Arial"/>
          <w:bCs/>
          <w:strike/>
          <w:sz w:val="22"/>
          <w:szCs w:val="22"/>
        </w:rPr>
      </w:pPr>
      <w:r w:rsidRPr="002B69D9">
        <w:rPr>
          <w:rFonts w:cs="Arial"/>
          <w:bCs/>
          <w:strike/>
          <w:sz w:val="22"/>
          <w:szCs w:val="22"/>
        </w:rPr>
        <w:tab/>
        <w:t>Up to 1,000</w:t>
      </w:r>
      <w:r w:rsidRPr="002B69D9">
        <w:rPr>
          <w:rFonts w:cs="Arial"/>
          <w:bCs/>
          <w:strike/>
          <w:sz w:val="22"/>
          <w:szCs w:val="22"/>
        </w:rPr>
        <w:tab/>
      </w:r>
      <w:r w:rsidRPr="002B69D9">
        <w:rPr>
          <w:rFonts w:cs="Arial"/>
          <w:bCs/>
          <w:strike/>
          <w:sz w:val="22"/>
          <w:szCs w:val="22"/>
        </w:rPr>
        <w:tab/>
      </w:r>
      <w:r w:rsidRPr="002B69D9">
        <w:rPr>
          <w:rFonts w:cs="Arial"/>
          <w:bCs/>
          <w:strike/>
          <w:sz w:val="22"/>
          <w:szCs w:val="22"/>
        </w:rPr>
        <w:tab/>
      </w:r>
      <w:r w:rsidRPr="002B69D9">
        <w:rPr>
          <w:rFonts w:cs="Arial"/>
          <w:bCs/>
          <w:strike/>
          <w:sz w:val="22"/>
          <w:szCs w:val="22"/>
        </w:rPr>
        <w:tab/>
      </w:r>
      <w:r w:rsidRPr="002B69D9">
        <w:rPr>
          <w:rFonts w:cs="Arial"/>
          <w:bCs/>
          <w:strike/>
          <w:sz w:val="22"/>
          <w:szCs w:val="22"/>
        </w:rPr>
        <w:tab/>
        <w:t>$25</w:t>
      </w:r>
    </w:p>
    <w:p w14:paraId="778F2F5F" w14:textId="77777777" w:rsidR="002B69D9" w:rsidRPr="002B69D9" w:rsidRDefault="002B69D9" w:rsidP="002B69D9">
      <w:pPr>
        <w:spacing w:line="360" w:lineRule="auto"/>
        <w:ind w:left="1080"/>
        <w:rPr>
          <w:rFonts w:cs="Arial"/>
          <w:bCs/>
          <w:strike/>
          <w:sz w:val="22"/>
          <w:szCs w:val="22"/>
        </w:rPr>
      </w:pPr>
      <w:r w:rsidRPr="002B69D9">
        <w:rPr>
          <w:rFonts w:cs="Arial"/>
          <w:bCs/>
          <w:strike/>
          <w:sz w:val="22"/>
          <w:szCs w:val="22"/>
        </w:rPr>
        <w:tab/>
        <w:t>1,001 to 2,000</w:t>
      </w:r>
      <w:r w:rsidRPr="002B69D9">
        <w:rPr>
          <w:rFonts w:cs="Arial"/>
          <w:bCs/>
          <w:strike/>
          <w:sz w:val="22"/>
          <w:szCs w:val="22"/>
        </w:rPr>
        <w:tab/>
      </w:r>
      <w:r w:rsidRPr="002B69D9">
        <w:rPr>
          <w:rFonts w:cs="Arial"/>
          <w:bCs/>
          <w:strike/>
          <w:sz w:val="22"/>
          <w:szCs w:val="22"/>
        </w:rPr>
        <w:tab/>
      </w:r>
      <w:r w:rsidRPr="002B69D9">
        <w:rPr>
          <w:rFonts w:cs="Arial"/>
          <w:bCs/>
          <w:strike/>
          <w:sz w:val="22"/>
          <w:szCs w:val="22"/>
        </w:rPr>
        <w:tab/>
      </w:r>
      <w:r w:rsidRPr="002B69D9">
        <w:rPr>
          <w:rFonts w:cs="Arial"/>
          <w:bCs/>
          <w:strike/>
          <w:sz w:val="22"/>
          <w:szCs w:val="22"/>
        </w:rPr>
        <w:tab/>
      </w:r>
      <w:r w:rsidRPr="002B69D9">
        <w:rPr>
          <w:rFonts w:cs="Arial"/>
          <w:bCs/>
          <w:strike/>
          <w:sz w:val="22"/>
          <w:szCs w:val="22"/>
        </w:rPr>
        <w:tab/>
        <w:t>$50</w:t>
      </w:r>
    </w:p>
    <w:p w14:paraId="4B193E7B" w14:textId="77777777" w:rsidR="002B69D9" w:rsidRPr="002B69D9" w:rsidRDefault="002B69D9" w:rsidP="002B69D9">
      <w:pPr>
        <w:spacing w:line="360" w:lineRule="auto"/>
        <w:ind w:left="1080"/>
        <w:rPr>
          <w:rFonts w:cs="Arial"/>
          <w:bCs/>
          <w:strike/>
          <w:sz w:val="22"/>
          <w:szCs w:val="22"/>
        </w:rPr>
      </w:pPr>
      <w:r w:rsidRPr="002B69D9">
        <w:rPr>
          <w:rFonts w:cs="Arial"/>
          <w:bCs/>
          <w:strike/>
          <w:sz w:val="22"/>
          <w:szCs w:val="22"/>
        </w:rPr>
        <w:tab/>
        <w:t>2,001 to 3,000</w:t>
      </w:r>
      <w:r w:rsidRPr="002B69D9">
        <w:rPr>
          <w:rFonts w:cs="Arial"/>
          <w:bCs/>
          <w:strike/>
          <w:sz w:val="22"/>
          <w:szCs w:val="22"/>
        </w:rPr>
        <w:tab/>
      </w:r>
      <w:r w:rsidRPr="002B69D9">
        <w:rPr>
          <w:rFonts w:cs="Arial"/>
          <w:bCs/>
          <w:strike/>
          <w:sz w:val="22"/>
          <w:szCs w:val="22"/>
        </w:rPr>
        <w:tab/>
      </w:r>
      <w:r w:rsidRPr="002B69D9">
        <w:rPr>
          <w:rFonts w:cs="Arial"/>
          <w:bCs/>
          <w:strike/>
          <w:sz w:val="22"/>
          <w:szCs w:val="22"/>
        </w:rPr>
        <w:tab/>
      </w:r>
      <w:r w:rsidRPr="002B69D9">
        <w:rPr>
          <w:rFonts w:cs="Arial"/>
          <w:bCs/>
          <w:strike/>
          <w:sz w:val="22"/>
          <w:szCs w:val="22"/>
        </w:rPr>
        <w:tab/>
      </w:r>
      <w:r w:rsidRPr="002B69D9">
        <w:rPr>
          <w:rFonts w:cs="Arial"/>
          <w:bCs/>
          <w:strike/>
          <w:sz w:val="22"/>
          <w:szCs w:val="22"/>
        </w:rPr>
        <w:tab/>
        <w:t>$75</w:t>
      </w:r>
    </w:p>
    <w:p w14:paraId="227ECEF9" w14:textId="77777777" w:rsidR="002B69D9" w:rsidRPr="002B69D9" w:rsidRDefault="002B69D9" w:rsidP="002B69D9">
      <w:pPr>
        <w:spacing w:line="360" w:lineRule="auto"/>
        <w:ind w:left="1080"/>
        <w:rPr>
          <w:rFonts w:cs="Arial"/>
          <w:bCs/>
          <w:strike/>
          <w:sz w:val="22"/>
          <w:szCs w:val="22"/>
        </w:rPr>
      </w:pPr>
      <w:r w:rsidRPr="002B69D9">
        <w:rPr>
          <w:rFonts w:cs="Arial"/>
          <w:bCs/>
          <w:strike/>
          <w:sz w:val="22"/>
          <w:szCs w:val="22"/>
        </w:rPr>
        <w:tab/>
        <w:t>3,001 to 5,000</w:t>
      </w:r>
      <w:r w:rsidRPr="002B69D9">
        <w:rPr>
          <w:rFonts w:cs="Arial"/>
          <w:bCs/>
          <w:strike/>
          <w:sz w:val="22"/>
          <w:szCs w:val="22"/>
        </w:rPr>
        <w:tab/>
      </w:r>
      <w:r w:rsidRPr="002B69D9">
        <w:rPr>
          <w:rFonts w:cs="Arial"/>
          <w:bCs/>
          <w:strike/>
          <w:sz w:val="22"/>
          <w:szCs w:val="22"/>
        </w:rPr>
        <w:tab/>
      </w:r>
      <w:r w:rsidRPr="002B69D9">
        <w:rPr>
          <w:rFonts w:cs="Arial"/>
          <w:bCs/>
          <w:strike/>
          <w:sz w:val="22"/>
          <w:szCs w:val="22"/>
        </w:rPr>
        <w:tab/>
      </w:r>
      <w:r w:rsidRPr="002B69D9">
        <w:rPr>
          <w:rFonts w:cs="Arial"/>
          <w:bCs/>
          <w:strike/>
          <w:sz w:val="22"/>
          <w:szCs w:val="22"/>
        </w:rPr>
        <w:tab/>
      </w:r>
      <w:r w:rsidRPr="002B69D9">
        <w:rPr>
          <w:rFonts w:cs="Arial"/>
          <w:bCs/>
          <w:strike/>
          <w:sz w:val="22"/>
          <w:szCs w:val="22"/>
        </w:rPr>
        <w:tab/>
        <w:t>$100</w:t>
      </w:r>
    </w:p>
    <w:p w14:paraId="75D6FB93" w14:textId="77777777" w:rsidR="002B69D9" w:rsidRPr="002B69D9" w:rsidRDefault="002B69D9" w:rsidP="002B69D9">
      <w:pPr>
        <w:spacing w:line="360" w:lineRule="auto"/>
        <w:ind w:left="1080"/>
        <w:rPr>
          <w:rFonts w:cs="Arial"/>
          <w:bCs/>
          <w:strike/>
          <w:sz w:val="22"/>
          <w:szCs w:val="22"/>
        </w:rPr>
      </w:pPr>
      <w:r w:rsidRPr="002B69D9">
        <w:rPr>
          <w:rFonts w:cs="Arial"/>
          <w:bCs/>
          <w:strike/>
          <w:sz w:val="22"/>
          <w:szCs w:val="22"/>
        </w:rPr>
        <w:tab/>
        <w:t>5,001 to 10,000</w:t>
      </w:r>
      <w:r w:rsidRPr="002B69D9">
        <w:rPr>
          <w:rFonts w:cs="Arial"/>
          <w:bCs/>
          <w:strike/>
          <w:sz w:val="22"/>
          <w:szCs w:val="22"/>
        </w:rPr>
        <w:tab/>
      </w:r>
      <w:r w:rsidRPr="002B69D9">
        <w:rPr>
          <w:rFonts w:cs="Arial"/>
          <w:bCs/>
          <w:strike/>
          <w:sz w:val="22"/>
          <w:szCs w:val="22"/>
        </w:rPr>
        <w:tab/>
      </w:r>
      <w:r w:rsidRPr="002B69D9">
        <w:rPr>
          <w:rFonts w:cs="Arial"/>
          <w:bCs/>
          <w:strike/>
          <w:sz w:val="22"/>
          <w:szCs w:val="22"/>
        </w:rPr>
        <w:tab/>
      </w:r>
      <w:r w:rsidRPr="002B69D9">
        <w:rPr>
          <w:rFonts w:cs="Arial"/>
          <w:bCs/>
          <w:strike/>
          <w:sz w:val="22"/>
          <w:szCs w:val="22"/>
        </w:rPr>
        <w:tab/>
        <w:t>$150</w:t>
      </w:r>
    </w:p>
    <w:p w14:paraId="537E1D6E" w14:textId="77777777" w:rsidR="002B69D9" w:rsidRPr="002B69D9" w:rsidRDefault="002B69D9" w:rsidP="002B69D9">
      <w:pPr>
        <w:spacing w:line="360" w:lineRule="auto"/>
        <w:ind w:left="1080"/>
        <w:rPr>
          <w:rFonts w:cs="Arial"/>
          <w:bCs/>
          <w:strike/>
          <w:sz w:val="22"/>
          <w:szCs w:val="22"/>
        </w:rPr>
      </w:pPr>
      <w:r w:rsidRPr="002B69D9">
        <w:rPr>
          <w:rFonts w:cs="Arial"/>
          <w:bCs/>
          <w:strike/>
          <w:sz w:val="22"/>
          <w:szCs w:val="22"/>
        </w:rPr>
        <w:tab/>
        <w:t>10,001 to 20,000</w:t>
      </w:r>
      <w:r w:rsidRPr="002B69D9">
        <w:rPr>
          <w:rFonts w:cs="Arial"/>
          <w:bCs/>
          <w:strike/>
          <w:sz w:val="22"/>
          <w:szCs w:val="22"/>
        </w:rPr>
        <w:tab/>
      </w:r>
      <w:r w:rsidRPr="002B69D9">
        <w:rPr>
          <w:rFonts w:cs="Arial"/>
          <w:bCs/>
          <w:strike/>
          <w:sz w:val="22"/>
          <w:szCs w:val="22"/>
        </w:rPr>
        <w:tab/>
      </w:r>
      <w:r w:rsidRPr="002B69D9">
        <w:rPr>
          <w:rFonts w:cs="Arial"/>
          <w:bCs/>
          <w:strike/>
          <w:sz w:val="22"/>
          <w:szCs w:val="22"/>
        </w:rPr>
        <w:tab/>
      </w:r>
      <w:r w:rsidRPr="002B69D9">
        <w:rPr>
          <w:rFonts w:cs="Arial"/>
          <w:bCs/>
          <w:strike/>
          <w:sz w:val="22"/>
          <w:szCs w:val="22"/>
        </w:rPr>
        <w:tab/>
        <w:t>$200</w:t>
      </w:r>
    </w:p>
    <w:p w14:paraId="283BD583" w14:textId="77777777" w:rsidR="002B69D9" w:rsidRPr="002B69D9" w:rsidRDefault="002B69D9" w:rsidP="002B69D9">
      <w:pPr>
        <w:spacing w:line="360" w:lineRule="auto"/>
        <w:ind w:left="1080"/>
        <w:rPr>
          <w:rFonts w:cs="Arial"/>
          <w:bCs/>
          <w:strike/>
          <w:sz w:val="22"/>
          <w:szCs w:val="22"/>
        </w:rPr>
      </w:pPr>
      <w:r w:rsidRPr="002B69D9">
        <w:rPr>
          <w:rFonts w:cs="Arial"/>
          <w:bCs/>
          <w:strike/>
          <w:sz w:val="22"/>
          <w:szCs w:val="22"/>
        </w:rPr>
        <w:tab/>
        <w:t>20,000 and over</w:t>
      </w:r>
      <w:r w:rsidRPr="002B69D9">
        <w:rPr>
          <w:rFonts w:cs="Arial"/>
          <w:bCs/>
          <w:strike/>
          <w:sz w:val="22"/>
          <w:szCs w:val="22"/>
        </w:rPr>
        <w:tab/>
      </w:r>
      <w:r w:rsidRPr="002B69D9">
        <w:rPr>
          <w:rFonts w:cs="Arial"/>
          <w:bCs/>
          <w:strike/>
          <w:sz w:val="22"/>
          <w:szCs w:val="22"/>
        </w:rPr>
        <w:tab/>
      </w:r>
      <w:r w:rsidRPr="002B69D9">
        <w:rPr>
          <w:rFonts w:cs="Arial"/>
          <w:bCs/>
          <w:strike/>
          <w:sz w:val="22"/>
          <w:szCs w:val="22"/>
        </w:rPr>
        <w:tab/>
      </w:r>
      <w:r w:rsidRPr="002B69D9">
        <w:rPr>
          <w:rFonts w:cs="Arial"/>
          <w:bCs/>
          <w:strike/>
          <w:sz w:val="22"/>
          <w:szCs w:val="22"/>
        </w:rPr>
        <w:tab/>
        <w:t>$300</w:t>
      </w:r>
    </w:p>
    <w:p w14:paraId="1A7AC02F" w14:textId="77777777" w:rsidR="002B69D9" w:rsidRPr="002B69D9" w:rsidRDefault="002B69D9" w:rsidP="002B69D9">
      <w:pPr>
        <w:spacing w:line="360" w:lineRule="auto"/>
        <w:ind w:left="1080"/>
        <w:rPr>
          <w:rFonts w:cs="Arial"/>
          <w:bCs/>
          <w:sz w:val="22"/>
          <w:szCs w:val="22"/>
          <w:u w:val="single"/>
        </w:rPr>
      </w:pPr>
      <w:proofErr w:type="gramStart"/>
      <w:r w:rsidRPr="002B69D9">
        <w:rPr>
          <w:rFonts w:cs="Arial"/>
          <w:bCs/>
          <w:sz w:val="22"/>
          <w:szCs w:val="22"/>
          <w:u w:val="single"/>
        </w:rPr>
        <w:t>a.</w:t>
      </w:r>
      <w:r w:rsidRPr="002B69D9">
        <w:rPr>
          <w:rFonts w:cs="Arial"/>
          <w:bCs/>
          <w:sz w:val="22"/>
          <w:szCs w:val="22"/>
          <w:u w:val="single"/>
        </w:rPr>
        <w:tab/>
        <w:t>Mobile</w:t>
      </w:r>
      <w:proofErr w:type="gramEnd"/>
      <w:r w:rsidRPr="002B69D9">
        <w:rPr>
          <w:rFonts w:cs="Arial"/>
          <w:bCs/>
          <w:sz w:val="22"/>
          <w:szCs w:val="22"/>
          <w:u w:val="single"/>
        </w:rPr>
        <w:t xml:space="preserve"> Vehicles</w:t>
      </w:r>
      <w:r w:rsidRPr="002B69D9">
        <w:rPr>
          <w:rFonts w:cs="Arial"/>
          <w:bCs/>
          <w:sz w:val="22"/>
          <w:szCs w:val="22"/>
          <w:u w:val="single"/>
        </w:rPr>
        <w:tab/>
      </w:r>
      <w:r w:rsidRPr="002B69D9">
        <w:rPr>
          <w:rFonts w:cs="Arial"/>
          <w:bCs/>
          <w:sz w:val="22"/>
          <w:szCs w:val="22"/>
          <w:u w:val="single"/>
        </w:rPr>
        <w:tab/>
      </w:r>
      <w:r w:rsidRPr="002B69D9">
        <w:rPr>
          <w:rFonts w:cs="Arial"/>
          <w:bCs/>
          <w:sz w:val="22"/>
          <w:szCs w:val="22"/>
          <w:u w:val="single"/>
        </w:rPr>
        <w:tab/>
      </w:r>
      <w:r w:rsidRPr="002B69D9">
        <w:rPr>
          <w:rFonts w:cs="Arial"/>
          <w:bCs/>
          <w:sz w:val="22"/>
          <w:szCs w:val="22"/>
          <w:u w:val="single"/>
        </w:rPr>
        <w:tab/>
        <w:t>$150.00 per year</w:t>
      </w:r>
    </w:p>
    <w:p w14:paraId="722B8A63" w14:textId="77777777" w:rsidR="002B69D9" w:rsidRPr="002B69D9" w:rsidRDefault="002B69D9" w:rsidP="002B69D9">
      <w:pPr>
        <w:spacing w:line="360" w:lineRule="auto"/>
        <w:ind w:left="1080"/>
        <w:rPr>
          <w:rFonts w:cs="Arial"/>
          <w:bCs/>
          <w:sz w:val="22"/>
          <w:szCs w:val="22"/>
          <w:u w:val="single"/>
        </w:rPr>
      </w:pPr>
      <w:proofErr w:type="gramStart"/>
      <w:r w:rsidRPr="002B69D9">
        <w:rPr>
          <w:rFonts w:cs="Arial"/>
          <w:bCs/>
          <w:sz w:val="22"/>
          <w:szCs w:val="22"/>
          <w:u w:val="single"/>
        </w:rPr>
        <w:t>b</w:t>
      </w:r>
      <w:proofErr w:type="gramEnd"/>
      <w:r w:rsidRPr="002B69D9">
        <w:rPr>
          <w:rFonts w:cs="Arial"/>
          <w:bCs/>
          <w:sz w:val="22"/>
          <w:szCs w:val="22"/>
          <w:u w:val="single"/>
        </w:rPr>
        <w:t>.</w:t>
      </w:r>
      <w:r w:rsidRPr="002B69D9">
        <w:rPr>
          <w:rFonts w:cs="Arial"/>
          <w:bCs/>
          <w:sz w:val="22"/>
          <w:szCs w:val="22"/>
          <w:u w:val="single"/>
        </w:rPr>
        <w:tab/>
        <w:t>Special Event Lasting one week in duration or less</w:t>
      </w:r>
    </w:p>
    <w:p w14:paraId="0B68E477" w14:textId="77777777" w:rsidR="002B69D9" w:rsidRPr="002B69D9" w:rsidRDefault="002B69D9" w:rsidP="002B69D9">
      <w:pPr>
        <w:spacing w:line="360" w:lineRule="auto"/>
        <w:ind w:left="1080"/>
        <w:rPr>
          <w:rFonts w:cs="Arial"/>
          <w:bCs/>
          <w:sz w:val="22"/>
          <w:szCs w:val="22"/>
          <w:u w:val="single"/>
        </w:rPr>
      </w:pPr>
      <w:r w:rsidRPr="002B69D9">
        <w:rPr>
          <w:rFonts w:cs="Arial"/>
          <w:bCs/>
          <w:sz w:val="22"/>
          <w:szCs w:val="22"/>
          <w:u w:val="single"/>
        </w:rPr>
        <w:tab/>
      </w:r>
      <w:r w:rsidRPr="002B69D9">
        <w:rPr>
          <w:rFonts w:cs="Arial"/>
          <w:bCs/>
          <w:sz w:val="22"/>
          <w:szCs w:val="22"/>
          <w:u w:val="single"/>
        </w:rPr>
        <w:tab/>
      </w:r>
      <w:r w:rsidRPr="002B69D9">
        <w:rPr>
          <w:rFonts w:cs="Arial"/>
          <w:bCs/>
          <w:sz w:val="22"/>
          <w:szCs w:val="22"/>
          <w:u w:val="single"/>
        </w:rPr>
        <w:tab/>
      </w:r>
      <w:r w:rsidRPr="002B69D9">
        <w:rPr>
          <w:rFonts w:cs="Arial"/>
          <w:bCs/>
          <w:sz w:val="22"/>
          <w:szCs w:val="22"/>
          <w:u w:val="single"/>
        </w:rPr>
        <w:tab/>
      </w:r>
      <w:r w:rsidRPr="002B69D9">
        <w:rPr>
          <w:rFonts w:cs="Arial"/>
          <w:bCs/>
          <w:sz w:val="22"/>
          <w:szCs w:val="22"/>
          <w:u w:val="single"/>
        </w:rPr>
        <w:tab/>
      </w:r>
      <w:r w:rsidRPr="002B69D9">
        <w:rPr>
          <w:rFonts w:cs="Arial"/>
          <w:bCs/>
          <w:sz w:val="22"/>
          <w:szCs w:val="22"/>
          <w:u w:val="single"/>
        </w:rPr>
        <w:tab/>
      </w:r>
      <w:r w:rsidRPr="002B69D9">
        <w:rPr>
          <w:rFonts w:cs="Arial"/>
          <w:bCs/>
          <w:sz w:val="22"/>
          <w:szCs w:val="22"/>
          <w:u w:val="single"/>
        </w:rPr>
        <w:tab/>
        <w:t>$100.00 per vendor/per event</w:t>
      </w:r>
    </w:p>
    <w:p w14:paraId="52115D4E" w14:textId="77777777" w:rsidR="002B69D9" w:rsidRPr="002B69D9" w:rsidRDefault="002B69D9" w:rsidP="002B69D9">
      <w:pPr>
        <w:spacing w:line="360" w:lineRule="auto"/>
        <w:ind w:left="1080"/>
        <w:rPr>
          <w:rFonts w:cs="Arial"/>
          <w:bCs/>
          <w:sz w:val="22"/>
          <w:szCs w:val="22"/>
          <w:u w:val="single"/>
        </w:rPr>
      </w:pPr>
      <w:r w:rsidRPr="002B69D9">
        <w:rPr>
          <w:rFonts w:cs="Arial"/>
          <w:bCs/>
          <w:sz w:val="22"/>
          <w:szCs w:val="22"/>
          <w:u w:val="single"/>
        </w:rPr>
        <w:t>c.</w:t>
      </w:r>
      <w:r w:rsidRPr="002B69D9">
        <w:rPr>
          <w:rFonts w:cs="Arial"/>
          <w:bCs/>
          <w:sz w:val="22"/>
          <w:szCs w:val="22"/>
          <w:u w:val="single"/>
        </w:rPr>
        <w:tab/>
        <w:t>Establishments other than restaurants:</w:t>
      </w:r>
    </w:p>
    <w:p w14:paraId="7F355C63" w14:textId="77777777" w:rsidR="002B69D9" w:rsidRPr="002B69D9" w:rsidRDefault="002B69D9" w:rsidP="002B69D9">
      <w:pPr>
        <w:spacing w:line="360" w:lineRule="auto"/>
        <w:ind w:left="1080"/>
        <w:rPr>
          <w:rFonts w:cs="Arial"/>
          <w:bCs/>
          <w:sz w:val="22"/>
          <w:szCs w:val="22"/>
          <w:u w:val="single"/>
        </w:rPr>
      </w:pPr>
      <w:r w:rsidRPr="002B69D9">
        <w:rPr>
          <w:rFonts w:cs="Arial"/>
          <w:bCs/>
          <w:sz w:val="22"/>
          <w:szCs w:val="22"/>
          <w:u w:val="single"/>
        </w:rPr>
        <w:tab/>
        <w:t>i. Minimum fee for all establishments</w:t>
      </w:r>
      <w:r w:rsidRPr="002B69D9">
        <w:rPr>
          <w:rFonts w:cs="Arial"/>
          <w:bCs/>
          <w:sz w:val="22"/>
          <w:szCs w:val="22"/>
          <w:u w:val="single"/>
        </w:rPr>
        <w:tab/>
      </w:r>
      <w:r w:rsidRPr="002B69D9">
        <w:rPr>
          <w:rFonts w:cs="Arial"/>
          <w:bCs/>
          <w:sz w:val="22"/>
          <w:szCs w:val="22"/>
          <w:u w:val="single"/>
        </w:rPr>
        <w:tab/>
        <w:t>$150.00 per year</w:t>
      </w:r>
    </w:p>
    <w:p w14:paraId="3D26471D" w14:textId="77777777" w:rsidR="002B69D9" w:rsidRPr="002B69D9" w:rsidRDefault="002B69D9" w:rsidP="002B69D9">
      <w:pPr>
        <w:spacing w:line="360" w:lineRule="auto"/>
        <w:ind w:left="1080"/>
        <w:rPr>
          <w:rFonts w:cs="Arial"/>
          <w:bCs/>
          <w:sz w:val="22"/>
          <w:szCs w:val="22"/>
          <w:u w:val="single"/>
        </w:rPr>
      </w:pPr>
      <w:r w:rsidRPr="002B69D9">
        <w:rPr>
          <w:rFonts w:cs="Arial"/>
          <w:bCs/>
          <w:sz w:val="22"/>
          <w:szCs w:val="22"/>
          <w:u w:val="single"/>
        </w:rPr>
        <w:tab/>
      </w:r>
      <w:proofErr w:type="gramStart"/>
      <w:r w:rsidRPr="002B69D9">
        <w:rPr>
          <w:rFonts w:cs="Arial"/>
          <w:bCs/>
          <w:sz w:val="22"/>
          <w:szCs w:val="22"/>
          <w:u w:val="single"/>
        </w:rPr>
        <w:t>ii</w:t>
      </w:r>
      <w:proofErr w:type="gramEnd"/>
      <w:r w:rsidRPr="002B69D9">
        <w:rPr>
          <w:rFonts w:cs="Arial"/>
          <w:bCs/>
          <w:sz w:val="22"/>
          <w:szCs w:val="22"/>
          <w:u w:val="single"/>
        </w:rPr>
        <w:t>. Between 4,000 and 10,000 square feet</w:t>
      </w:r>
      <w:r w:rsidRPr="002B69D9">
        <w:rPr>
          <w:rFonts w:cs="Arial"/>
          <w:bCs/>
          <w:sz w:val="22"/>
          <w:szCs w:val="22"/>
          <w:u w:val="single"/>
        </w:rPr>
        <w:tab/>
        <w:t>$400.00 per year</w:t>
      </w:r>
    </w:p>
    <w:p w14:paraId="0082F4D6" w14:textId="77777777" w:rsidR="002B69D9" w:rsidRPr="002B69D9" w:rsidRDefault="002B69D9" w:rsidP="002B69D9">
      <w:pPr>
        <w:spacing w:line="360" w:lineRule="auto"/>
        <w:ind w:left="1080"/>
        <w:rPr>
          <w:rFonts w:cs="Arial"/>
          <w:bCs/>
          <w:sz w:val="22"/>
          <w:szCs w:val="22"/>
          <w:u w:val="single"/>
        </w:rPr>
      </w:pPr>
      <w:r w:rsidRPr="002B69D9">
        <w:rPr>
          <w:rFonts w:cs="Arial"/>
          <w:bCs/>
          <w:sz w:val="22"/>
          <w:szCs w:val="22"/>
          <w:u w:val="single"/>
        </w:rPr>
        <w:tab/>
        <w:t>iii. Over 10,000 square feet</w:t>
      </w:r>
      <w:r w:rsidRPr="002B69D9">
        <w:rPr>
          <w:rFonts w:cs="Arial"/>
          <w:bCs/>
          <w:sz w:val="22"/>
          <w:szCs w:val="22"/>
          <w:u w:val="single"/>
        </w:rPr>
        <w:tab/>
      </w:r>
      <w:r w:rsidRPr="002B69D9">
        <w:rPr>
          <w:rFonts w:cs="Arial"/>
          <w:bCs/>
          <w:sz w:val="22"/>
          <w:szCs w:val="22"/>
          <w:u w:val="single"/>
        </w:rPr>
        <w:tab/>
      </w:r>
      <w:r w:rsidRPr="002B69D9">
        <w:rPr>
          <w:rFonts w:cs="Arial"/>
          <w:bCs/>
          <w:sz w:val="22"/>
          <w:szCs w:val="22"/>
          <w:u w:val="single"/>
        </w:rPr>
        <w:tab/>
        <w:t>$700.00 per year</w:t>
      </w:r>
    </w:p>
    <w:p w14:paraId="3AF76C4A" w14:textId="77777777" w:rsidR="002B69D9" w:rsidRPr="002B69D9" w:rsidRDefault="002B69D9" w:rsidP="002B69D9">
      <w:pPr>
        <w:spacing w:line="360" w:lineRule="auto"/>
        <w:ind w:left="1080"/>
        <w:rPr>
          <w:rFonts w:cs="Arial"/>
          <w:bCs/>
          <w:sz w:val="22"/>
          <w:szCs w:val="22"/>
          <w:u w:val="single"/>
        </w:rPr>
      </w:pPr>
      <w:r w:rsidRPr="002B69D9">
        <w:rPr>
          <w:rFonts w:cs="Arial"/>
          <w:bCs/>
          <w:sz w:val="22"/>
          <w:szCs w:val="22"/>
          <w:u w:val="single"/>
        </w:rPr>
        <w:tab/>
      </w:r>
      <w:proofErr w:type="gramStart"/>
      <w:r w:rsidRPr="002B69D9">
        <w:rPr>
          <w:rFonts w:cs="Arial"/>
          <w:bCs/>
          <w:sz w:val="22"/>
          <w:szCs w:val="22"/>
          <w:u w:val="single"/>
        </w:rPr>
        <w:t>iv</w:t>
      </w:r>
      <w:proofErr w:type="gramEnd"/>
      <w:r w:rsidRPr="002B69D9">
        <w:rPr>
          <w:rFonts w:cs="Arial"/>
          <w:bCs/>
          <w:sz w:val="22"/>
          <w:szCs w:val="22"/>
          <w:u w:val="single"/>
        </w:rPr>
        <w:t>. Seasonal/Farmer’s Market vendor</w:t>
      </w:r>
      <w:r w:rsidRPr="002B69D9">
        <w:rPr>
          <w:rFonts w:cs="Arial"/>
          <w:bCs/>
          <w:sz w:val="22"/>
          <w:szCs w:val="22"/>
          <w:u w:val="single"/>
        </w:rPr>
        <w:tab/>
        <w:t>$350.00 per year</w:t>
      </w:r>
    </w:p>
    <w:p w14:paraId="410235B7" w14:textId="77777777" w:rsidR="002B69D9" w:rsidRPr="002B69D9" w:rsidRDefault="002B69D9" w:rsidP="002B69D9">
      <w:pPr>
        <w:spacing w:line="360" w:lineRule="auto"/>
        <w:ind w:left="1080"/>
        <w:rPr>
          <w:rFonts w:cs="Arial"/>
          <w:bCs/>
          <w:sz w:val="22"/>
          <w:szCs w:val="22"/>
          <w:u w:val="single"/>
        </w:rPr>
      </w:pPr>
      <w:r w:rsidRPr="002B69D9">
        <w:rPr>
          <w:rFonts w:cs="Arial"/>
          <w:bCs/>
          <w:sz w:val="22"/>
          <w:szCs w:val="22"/>
          <w:u w:val="single"/>
        </w:rPr>
        <w:t>d.</w:t>
      </w:r>
      <w:r w:rsidRPr="002B69D9">
        <w:rPr>
          <w:rFonts w:cs="Arial"/>
          <w:bCs/>
          <w:sz w:val="22"/>
          <w:szCs w:val="22"/>
          <w:u w:val="single"/>
        </w:rPr>
        <w:tab/>
        <w:t>Restaurants:</w:t>
      </w:r>
    </w:p>
    <w:p w14:paraId="0CD382D4" w14:textId="77777777" w:rsidR="002B69D9" w:rsidRPr="002B69D9" w:rsidRDefault="002B69D9" w:rsidP="002B69D9">
      <w:pPr>
        <w:spacing w:line="360" w:lineRule="auto"/>
        <w:ind w:left="1080"/>
        <w:rPr>
          <w:rFonts w:cs="Arial"/>
          <w:bCs/>
          <w:sz w:val="22"/>
          <w:szCs w:val="22"/>
          <w:u w:val="single"/>
        </w:rPr>
      </w:pPr>
      <w:r w:rsidRPr="002B69D9">
        <w:rPr>
          <w:rFonts w:cs="Arial"/>
          <w:bCs/>
          <w:sz w:val="22"/>
          <w:szCs w:val="22"/>
          <w:u w:val="single"/>
        </w:rPr>
        <w:tab/>
        <w:t>i. Seating capacity up to 50</w:t>
      </w:r>
      <w:r w:rsidRPr="002B69D9">
        <w:rPr>
          <w:rFonts w:cs="Arial"/>
          <w:bCs/>
          <w:sz w:val="22"/>
          <w:szCs w:val="22"/>
          <w:u w:val="single"/>
        </w:rPr>
        <w:tab/>
      </w:r>
      <w:r w:rsidRPr="002B69D9">
        <w:rPr>
          <w:rFonts w:cs="Arial"/>
          <w:bCs/>
          <w:sz w:val="22"/>
          <w:szCs w:val="22"/>
          <w:u w:val="single"/>
        </w:rPr>
        <w:tab/>
      </w:r>
      <w:r w:rsidRPr="002B69D9">
        <w:rPr>
          <w:rFonts w:cs="Arial"/>
          <w:bCs/>
          <w:sz w:val="22"/>
          <w:szCs w:val="22"/>
          <w:u w:val="single"/>
        </w:rPr>
        <w:tab/>
        <w:t>$150.00 per year</w:t>
      </w:r>
    </w:p>
    <w:p w14:paraId="294EAE39" w14:textId="77777777" w:rsidR="002B69D9" w:rsidRPr="002B69D9" w:rsidRDefault="002B69D9" w:rsidP="002B69D9">
      <w:pPr>
        <w:spacing w:line="360" w:lineRule="auto"/>
        <w:ind w:left="1080"/>
        <w:rPr>
          <w:rFonts w:cs="Arial"/>
          <w:bCs/>
          <w:sz w:val="22"/>
          <w:szCs w:val="22"/>
          <w:u w:val="single"/>
        </w:rPr>
      </w:pPr>
      <w:r w:rsidRPr="002B69D9">
        <w:rPr>
          <w:rFonts w:cs="Arial"/>
          <w:bCs/>
          <w:sz w:val="22"/>
          <w:szCs w:val="22"/>
          <w:u w:val="single"/>
        </w:rPr>
        <w:tab/>
        <w:t>ii. Seating capacity from 51 to 100</w:t>
      </w:r>
      <w:r w:rsidRPr="002B69D9">
        <w:rPr>
          <w:rFonts w:cs="Arial"/>
          <w:bCs/>
          <w:sz w:val="22"/>
          <w:szCs w:val="22"/>
          <w:u w:val="single"/>
        </w:rPr>
        <w:tab/>
      </w:r>
      <w:r w:rsidRPr="002B69D9">
        <w:rPr>
          <w:rFonts w:cs="Arial"/>
          <w:bCs/>
          <w:sz w:val="22"/>
          <w:szCs w:val="22"/>
          <w:u w:val="single"/>
        </w:rPr>
        <w:tab/>
        <w:t>$250.00 per year</w:t>
      </w:r>
    </w:p>
    <w:p w14:paraId="4A7E84D1" w14:textId="77777777" w:rsidR="002B69D9" w:rsidRPr="002B69D9" w:rsidRDefault="002B69D9" w:rsidP="002B69D9">
      <w:pPr>
        <w:spacing w:line="360" w:lineRule="auto"/>
        <w:ind w:left="1080"/>
        <w:rPr>
          <w:rFonts w:cs="Arial"/>
          <w:bCs/>
          <w:sz w:val="22"/>
          <w:szCs w:val="22"/>
          <w:u w:val="single"/>
        </w:rPr>
      </w:pPr>
      <w:r w:rsidRPr="002B69D9">
        <w:rPr>
          <w:rFonts w:cs="Arial"/>
          <w:bCs/>
          <w:sz w:val="22"/>
          <w:szCs w:val="22"/>
          <w:u w:val="single"/>
        </w:rPr>
        <w:tab/>
      </w:r>
      <w:proofErr w:type="gramStart"/>
      <w:r w:rsidRPr="002B69D9">
        <w:rPr>
          <w:rFonts w:cs="Arial"/>
          <w:bCs/>
          <w:sz w:val="22"/>
          <w:szCs w:val="22"/>
          <w:u w:val="single"/>
        </w:rPr>
        <w:t>iii</w:t>
      </w:r>
      <w:proofErr w:type="gramEnd"/>
      <w:r w:rsidRPr="002B69D9">
        <w:rPr>
          <w:rFonts w:cs="Arial"/>
          <w:bCs/>
          <w:sz w:val="22"/>
          <w:szCs w:val="22"/>
          <w:u w:val="single"/>
        </w:rPr>
        <w:t xml:space="preserve"> Seating capacity over 100</w:t>
      </w:r>
      <w:r w:rsidRPr="002B69D9">
        <w:rPr>
          <w:rFonts w:cs="Arial"/>
          <w:bCs/>
          <w:sz w:val="22"/>
          <w:szCs w:val="22"/>
          <w:u w:val="single"/>
        </w:rPr>
        <w:tab/>
      </w:r>
      <w:r w:rsidRPr="002B69D9">
        <w:rPr>
          <w:rFonts w:cs="Arial"/>
          <w:bCs/>
          <w:sz w:val="22"/>
          <w:szCs w:val="22"/>
          <w:u w:val="single"/>
        </w:rPr>
        <w:tab/>
      </w:r>
      <w:r w:rsidRPr="002B69D9">
        <w:rPr>
          <w:rFonts w:cs="Arial"/>
          <w:bCs/>
          <w:sz w:val="22"/>
          <w:szCs w:val="22"/>
          <w:u w:val="single"/>
        </w:rPr>
        <w:tab/>
        <w:t>$400.00 per year</w:t>
      </w:r>
    </w:p>
    <w:p w14:paraId="72BA2408" w14:textId="77777777" w:rsidR="002B69D9" w:rsidRPr="002B69D9" w:rsidRDefault="002B69D9" w:rsidP="002B69D9">
      <w:pPr>
        <w:spacing w:line="360" w:lineRule="auto"/>
        <w:ind w:left="1080"/>
        <w:rPr>
          <w:rFonts w:cs="Arial"/>
          <w:bCs/>
          <w:sz w:val="22"/>
          <w:szCs w:val="22"/>
          <w:u w:val="single"/>
        </w:rPr>
      </w:pPr>
      <w:r w:rsidRPr="002B69D9">
        <w:rPr>
          <w:rFonts w:cs="Arial"/>
          <w:bCs/>
          <w:sz w:val="22"/>
          <w:szCs w:val="22"/>
          <w:u w:val="single"/>
        </w:rPr>
        <w:t>e.</w:t>
      </w:r>
      <w:r w:rsidRPr="002B69D9">
        <w:rPr>
          <w:rFonts w:cs="Arial"/>
          <w:bCs/>
          <w:sz w:val="22"/>
          <w:szCs w:val="22"/>
          <w:u w:val="single"/>
        </w:rPr>
        <w:tab/>
        <w:t>A late fee will be levied by the municipality on those food establishment owners and/or operators who do not renew their license within 90 days after the expiration date.  The late fee charged will be in addition to the cost of the establishment’s annual food licensing fee.  The late shall be charged at 20% of the food establishment’s annual licensing fee.</w:t>
      </w:r>
    </w:p>
    <w:p w14:paraId="6A054C80" w14:textId="1DA97528" w:rsidR="002B69D9" w:rsidRPr="002B69D9" w:rsidRDefault="002B69D9" w:rsidP="002B69D9">
      <w:pPr>
        <w:spacing w:line="360" w:lineRule="auto"/>
        <w:ind w:firstLine="720"/>
        <w:rPr>
          <w:rFonts w:cs="Arial"/>
          <w:bCs/>
          <w:sz w:val="22"/>
          <w:szCs w:val="22"/>
        </w:rPr>
      </w:pPr>
      <w:r w:rsidRPr="002B69D9">
        <w:rPr>
          <w:rFonts w:cs="Arial"/>
          <w:b/>
          <w:bCs/>
          <w:sz w:val="22"/>
          <w:szCs w:val="22"/>
        </w:rPr>
        <w:t>(2) </w:t>
      </w:r>
      <w:r w:rsidRPr="002B69D9">
        <w:rPr>
          <w:rFonts w:cs="Arial"/>
          <w:bCs/>
          <w:sz w:val="22"/>
          <w:szCs w:val="22"/>
        </w:rPr>
        <w:t xml:space="preserve"> </w:t>
      </w:r>
      <w:r>
        <w:rPr>
          <w:rFonts w:cs="Arial"/>
          <w:bCs/>
          <w:sz w:val="22"/>
          <w:szCs w:val="22"/>
        </w:rPr>
        <w:tab/>
      </w:r>
      <w:r w:rsidRPr="002B69D9">
        <w:rPr>
          <w:rFonts w:cs="Arial"/>
          <w:bCs/>
          <w:sz w:val="22"/>
          <w:szCs w:val="22"/>
        </w:rPr>
        <w:t>[</w:t>
      </w:r>
      <w:r w:rsidRPr="002B69D9">
        <w:rPr>
          <w:rFonts w:cs="Arial"/>
          <w:bCs/>
          <w:i/>
          <w:sz w:val="22"/>
          <w:szCs w:val="22"/>
        </w:rPr>
        <w:t>Unchanged</w:t>
      </w:r>
      <w:r w:rsidRPr="002B69D9">
        <w:rPr>
          <w:rFonts w:cs="Arial"/>
          <w:bCs/>
          <w:sz w:val="22"/>
          <w:szCs w:val="22"/>
        </w:rPr>
        <w:t>]</w:t>
      </w:r>
    </w:p>
    <w:p w14:paraId="6854C59B" w14:textId="090051E2" w:rsidR="002B69D9" w:rsidRPr="002B69D9" w:rsidRDefault="002B69D9" w:rsidP="002B69D9">
      <w:pPr>
        <w:spacing w:line="360" w:lineRule="auto"/>
        <w:ind w:firstLine="720"/>
        <w:rPr>
          <w:rFonts w:cs="Arial"/>
          <w:bCs/>
          <w:sz w:val="22"/>
          <w:szCs w:val="22"/>
        </w:rPr>
      </w:pPr>
      <w:r w:rsidRPr="002B69D9">
        <w:rPr>
          <w:rFonts w:cs="Arial"/>
          <w:b/>
          <w:bCs/>
          <w:sz w:val="22"/>
          <w:szCs w:val="22"/>
        </w:rPr>
        <w:lastRenderedPageBreak/>
        <w:t>J. </w:t>
      </w:r>
      <w:r>
        <w:rPr>
          <w:rFonts w:cs="Arial"/>
          <w:b/>
          <w:bCs/>
          <w:sz w:val="22"/>
          <w:szCs w:val="22"/>
        </w:rPr>
        <w:tab/>
      </w:r>
      <w:r w:rsidRPr="002B69D9">
        <w:rPr>
          <w:rFonts w:cs="Arial"/>
          <w:bCs/>
          <w:sz w:val="22"/>
          <w:szCs w:val="22"/>
        </w:rPr>
        <w:t>[</w:t>
      </w:r>
      <w:r w:rsidRPr="002B69D9">
        <w:rPr>
          <w:rFonts w:cs="Arial"/>
          <w:bCs/>
          <w:i/>
          <w:sz w:val="22"/>
          <w:szCs w:val="22"/>
        </w:rPr>
        <w:t>Unchanged</w:t>
      </w:r>
      <w:r w:rsidRPr="002B69D9">
        <w:rPr>
          <w:rFonts w:cs="Arial"/>
          <w:bCs/>
          <w:sz w:val="22"/>
          <w:szCs w:val="22"/>
        </w:rPr>
        <w:t>]</w:t>
      </w:r>
    </w:p>
    <w:p w14:paraId="172DB5DC" w14:textId="77777777" w:rsidR="002B69D9" w:rsidRPr="002B69D9" w:rsidRDefault="002B69D9" w:rsidP="002B69D9">
      <w:pPr>
        <w:numPr>
          <w:ilvl w:val="12"/>
          <w:numId w:val="0"/>
        </w:numPr>
        <w:spacing w:line="360" w:lineRule="auto"/>
        <w:rPr>
          <w:rFonts w:cs="Arial"/>
          <w:sz w:val="22"/>
          <w:szCs w:val="22"/>
        </w:rPr>
      </w:pPr>
      <w:r w:rsidRPr="002B69D9">
        <w:rPr>
          <w:rFonts w:cs="Arial"/>
          <w:sz w:val="22"/>
          <w:szCs w:val="22"/>
        </w:rPr>
        <w:tab/>
      </w:r>
      <w:r w:rsidRPr="002B69D9">
        <w:rPr>
          <w:rFonts w:cs="Arial"/>
          <w:b/>
          <w:bCs/>
          <w:sz w:val="22"/>
          <w:szCs w:val="22"/>
        </w:rPr>
        <w:t xml:space="preserve">SECTION TWO: </w:t>
      </w:r>
      <w:r w:rsidRPr="002B69D9">
        <w:rPr>
          <w:rFonts w:cs="Arial"/>
          <w:sz w:val="22"/>
          <w:szCs w:val="22"/>
        </w:rPr>
        <w:t>Any ordinances or portions thereof which are inconsistent with the provisions of this Ordinance are hereby repealed as of the effective date of this Ordinance.  All other provisions of the Revised General Ordinances are ratified and remain in full force and effect.</w:t>
      </w:r>
    </w:p>
    <w:p w14:paraId="4FA677A3" w14:textId="77777777" w:rsidR="002B69D9" w:rsidRPr="002B69D9" w:rsidRDefault="002B69D9" w:rsidP="002B69D9">
      <w:pPr>
        <w:numPr>
          <w:ilvl w:val="12"/>
          <w:numId w:val="0"/>
        </w:numPr>
        <w:spacing w:line="360" w:lineRule="auto"/>
        <w:rPr>
          <w:rFonts w:cs="Arial"/>
          <w:sz w:val="22"/>
          <w:szCs w:val="22"/>
        </w:rPr>
      </w:pPr>
      <w:r w:rsidRPr="002B69D9">
        <w:rPr>
          <w:rFonts w:cs="Arial"/>
          <w:sz w:val="22"/>
          <w:szCs w:val="22"/>
        </w:rPr>
        <w:tab/>
      </w:r>
      <w:r w:rsidRPr="002B69D9">
        <w:rPr>
          <w:rFonts w:cs="Arial"/>
          <w:b/>
          <w:bCs/>
          <w:sz w:val="22"/>
          <w:szCs w:val="22"/>
        </w:rPr>
        <w:t>SECTION THREE:</w:t>
      </w:r>
      <w:r w:rsidRPr="002B69D9">
        <w:rPr>
          <w:rFonts w:cs="Arial"/>
          <w:sz w:val="22"/>
          <w:szCs w:val="22"/>
        </w:rPr>
        <w:t xml:space="preserve"> If any provision of this Ordinance or the application of such provision to any person or circumstance is declared invalid, such invalidity shall not affect the other provisions or applications of this Ordinance which can be given effect, and to this end, the provisions of this Ordinance are declared to be severable.</w:t>
      </w:r>
    </w:p>
    <w:p w14:paraId="40488354" w14:textId="64040E27" w:rsidR="002B69D9" w:rsidRDefault="002B69D9" w:rsidP="002B69D9">
      <w:pPr>
        <w:numPr>
          <w:ilvl w:val="12"/>
          <w:numId w:val="0"/>
        </w:numPr>
        <w:spacing w:line="360" w:lineRule="auto"/>
        <w:rPr>
          <w:rFonts w:cs="Arial"/>
          <w:sz w:val="22"/>
          <w:szCs w:val="22"/>
        </w:rPr>
      </w:pPr>
      <w:r w:rsidRPr="002B69D9">
        <w:rPr>
          <w:rFonts w:cs="Arial"/>
          <w:sz w:val="22"/>
          <w:szCs w:val="22"/>
        </w:rPr>
        <w:tab/>
      </w:r>
      <w:r w:rsidRPr="002B69D9">
        <w:rPr>
          <w:rFonts w:cs="Arial"/>
          <w:b/>
          <w:bCs/>
          <w:sz w:val="22"/>
          <w:szCs w:val="22"/>
        </w:rPr>
        <w:t>SECTION FOUR:</w:t>
      </w:r>
      <w:r w:rsidRPr="002B69D9">
        <w:rPr>
          <w:rFonts w:cs="Arial"/>
          <w:sz w:val="22"/>
          <w:szCs w:val="22"/>
        </w:rPr>
        <w:t xml:space="preserve"> This Ordinance shall take effect immediately upon its passage and adoption according to law.</w:t>
      </w:r>
    </w:p>
    <w:tbl>
      <w:tblPr>
        <w:tblW w:w="716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490"/>
        <w:gridCol w:w="985"/>
        <w:gridCol w:w="810"/>
        <w:gridCol w:w="720"/>
        <w:gridCol w:w="1080"/>
        <w:gridCol w:w="1080"/>
      </w:tblGrid>
      <w:tr w:rsidR="00A45CBD" w:rsidRPr="00D81FA1" w14:paraId="573346F6" w14:textId="77777777" w:rsidTr="00B77992">
        <w:trPr>
          <w:cantSplit/>
          <w:trHeight w:val="422"/>
        </w:trPr>
        <w:tc>
          <w:tcPr>
            <w:tcW w:w="2490" w:type="dxa"/>
            <w:hideMark/>
          </w:tcPr>
          <w:p w14:paraId="3202EFB9" w14:textId="77777777" w:rsidR="00A45CBD" w:rsidRPr="0088404F" w:rsidRDefault="00A45CBD" w:rsidP="00BA1B73">
            <w:pPr>
              <w:suppressAutoHyphens/>
              <w:spacing w:before="120" w:after="57" w:line="240" w:lineRule="atLeast"/>
              <w:rPr>
                <w:rFonts w:cs="Arial"/>
              </w:rPr>
            </w:pPr>
            <w:r w:rsidRPr="0088404F">
              <w:rPr>
                <w:rFonts w:cs="Arial"/>
              </w:rPr>
              <w:tab/>
            </w:r>
          </w:p>
        </w:tc>
        <w:tc>
          <w:tcPr>
            <w:tcW w:w="985" w:type="dxa"/>
          </w:tcPr>
          <w:p w14:paraId="35B35DBB" w14:textId="77777777" w:rsidR="00A45CBD" w:rsidRPr="0088404F" w:rsidRDefault="00A45CBD" w:rsidP="00BA1B73">
            <w:pPr>
              <w:suppressAutoHyphens/>
              <w:spacing w:before="120" w:after="57" w:line="240" w:lineRule="atLeast"/>
              <w:jc w:val="center"/>
              <w:rPr>
                <w:rFonts w:cs="Arial"/>
              </w:rPr>
            </w:pPr>
            <w:r w:rsidRPr="0088404F">
              <w:rPr>
                <w:rFonts w:cs="Arial"/>
              </w:rPr>
              <w:t>Motion</w:t>
            </w:r>
          </w:p>
        </w:tc>
        <w:tc>
          <w:tcPr>
            <w:tcW w:w="810" w:type="dxa"/>
            <w:hideMark/>
          </w:tcPr>
          <w:p w14:paraId="3D1F9A63" w14:textId="77777777" w:rsidR="00A45CBD" w:rsidRPr="0088404F" w:rsidRDefault="00A45CBD" w:rsidP="00BA1B73">
            <w:pPr>
              <w:suppressAutoHyphens/>
              <w:spacing w:before="120" w:after="57" w:line="240" w:lineRule="atLeast"/>
              <w:jc w:val="center"/>
              <w:rPr>
                <w:rFonts w:cs="Arial"/>
              </w:rPr>
            </w:pPr>
            <w:r w:rsidRPr="0088404F">
              <w:rPr>
                <w:rFonts w:cs="Arial"/>
              </w:rPr>
              <w:t>Yes</w:t>
            </w:r>
          </w:p>
        </w:tc>
        <w:tc>
          <w:tcPr>
            <w:tcW w:w="720" w:type="dxa"/>
            <w:hideMark/>
          </w:tcPr>
          <w:p w14:paraId="00729E70" w14:textId="77777777" w:rsidR="00A45CBD" w:rsidRPr="0088404F" w:rsidRDefault="00A45CBD" w:rsidP="00BA1B73">
            <w:pPr>
              <w:suppressAutoHyphens/>
              <w:spacing w:before="120" w:after="57" w:line="240" w:lineRule="atLeast"/>
              <w:jc w:val="center"/>
              <w:rPr>
                <w:rFonts w:cs="Arial"/>
              </w:rPr>
            </w:pPr>
            <w:r w:rsidRPr="0088404F">
              <w:rPr>
                <w:rFonts w:cs="Arial"/>
              </w:rPr>
              <w:t>No</w:t>
            </w:r>
          </w:p>
        </w:tc>
        <w:tc>
          <w:tcPr>
            <w:tcW w:w="1080" w:type="dxa"/>
            <w:hideMark/>
          </w:tcPr>
          <w:p w14:paraId="4834D354" w14:textId="77777777" w:rsidR="00A45CBD" w:rsidRPr="0088404F" w:rsidRDefault="00A45CBD" w:rsidP="00BA1B73">
            <w:pPr>
              <w:suppressAutoHyphens/>
              <w:spacing w:before="120" w:after="57" w:line="240" w:lineRule="atLeast"/>
              <w:jc w:val="center"/>
              <w:rPr>
                <w:rFonts w:cs="Arial"/>
              </w:rPr>
            </w:pPr>
            <w:r w:rsidRPr="0088404F">
              <w:rPr>
                <w:rFonts w:cs="Arial"/>
              </w:rPr>
              <w:t>Abstain</w:t>
            </w:r>
          </w:p>
        </w:tc>
        <w:tc>
          <w:tcPr>
            <w:tcW w:w="1080" w:type="dxa"/>
            <w:hideMark/>
          </w:tcPr>
          <w:p w14:paraId="2D9C108A" w14:textId="77777777" w:rsidR="00A45CBD" w:rsidRPr="0088404F" w:rsidRDefault="00A45CBD" w:rsidP="00BA1B73">
            <w:pPr>
              <w:suppressAutoHyphens/>
              <w:spacing w:before="120" w:after="57" w:line="240" w:lineRule="atLeast"/>
              <w:jc w:val="center"/>
              <w:rPr>
                <w:rFonts w:cs="Arial"/>
              </w:rPr>
            </w:pPr>
            <w:r w:rsidRPr="0088404F">
              <w:rPr>
                <w:rFonts w:cs="Arial"/>
              </w:rPr>
              <w:t>Absent</w:t>
            </w:r>
          </w:p>
        </w:tc>
      </w:tr>
      <w:tr w:rsidR="00A45CBD" w:rsidRPr="00D81FA1" w14:paraId="2B32367E" w14:textId="77777777" w:rsidTr="00590B74">
        <w:trPr>
          <w:cantSplit/>
          <w:trHeight w:val="441"/>
        </w:trPr>
        <w:tc>
          <w:tcPr>
            <w:tcW w:w="2490" w:type="dxa"/>
            <w:hideMark/>
          </w:tcPr>
          <w:p w14:paraId="65363A7C" w14:textId="77777777" w:rsidR="00A45CBD" w:rsidRPr="0088404F" w:rsidRDefault="00A45CBD" w:rsidP="00BA1B73">
            <w:pPr>
              <w:suppressAutoHyphens/>
              <w:overflowPunct w:val="0"/>
              <w:spacing w:before="120" w:after="57" w:line="240" w:lineRule="atLeast"/>
              <w:textAlignment w:val="baseline"/>
              <w:rPr>
                <w:rFonts w:cs="Arial"/>
              </w:rPr>
            </w:pPr>
            <w:r w:rsidRPr="0088404F">
              <w:rPr>
                <w:rFonts w:cs="Arial"/>
              </w:rPr>
              <w:t>Councilman Yassin</w:t>
            </w:r>
          </w:p>
        </w:tc>
        <w:tc>
          <w:tcPr>
            <w:tcW w:w="985" w:type="dxa"/>
          </w:tcPr>
          <w:p w14:paraId="6C6E8F32" w14:textId="5ACF2818" w:rsidR="00A45CBD" w:rsidRPr="0088404F" w:rsidRDefault="00FA6DF9" w:rsidP="00BA1B73">
            <w:pPr>
              <w:suppressAutoHyphens/>
              <w:overflowPunct w:val="0"/>
              <w:spacing w:before="120" w:after="57" w:line="240" w:lineRule="atLeast"/>
              <w:jc w:val="center"/>
              <w:textAlignment w:val="baseline"/>
              <w:rPr>
                <w:rFonts w:cs="Arial"/>
              </w:rPr>
            </w:pPr>
            <w:r>
              <w:rPr>
                <w:rFonts w:cs="Arial"/>
              </w:rPr>
              <w:t>Second</w:t>
            </w:r>
          </w:p>
        </w:tc>
        <w:tc>
          <w:tcPr>
            <w:tcW w:w="810" w:type="dxa"/>
          </w:tcPr>
          <w:p w14:paraId="68785D6F" w14:textId="1704802B" w:rsidR="00A45CBD" w:rsidRPr="0088404F" w:rsidRDefault="00493E7E" w:rsidP="00BA1B73">
            <w:pPr>
              <w:suppressAutoHyphens/>
              <w:overflowPunct w:val="0"/>
              <w:spacing w:before="120" w:after="57" w:line="240" w:lineRule="atLeast"/>
              <w:jc w:val="center"/>
              <w:textAlignment w:val="baseline"/>
              <w:rPr>
                <w:rFonts w:cs="Arial"/>
              </w:rPr>
            </w:pPr>
            <w:r>
              <w:rPr>
                <w:rFonts w:cs="Arial"/>
              </w:rPr>
              <w:t>X</w:t>
            </w:r>
          </w:p>
        </w:tc>
        <w:tc>
          <w:tcPr>
            <w:tcW w:w="720" w:type="dxa"/>
            <w:hideMark/>
          </w:tcPr>
          <w:p w14:paraId="6CA5574B" w14:textId="77777777" w:rsidR="00A45CBD" w:rsidRPr="0088404F" w:rsidRDefault="00A45CBD" w:rsidP="00BA1B73">
            <w:pPr>
              <w:suppressAutoHyphens/>
              <w:overflowPunct w:val="0"/>
              <w:spacing w:before="120" w:after="57" w:line="240" w:lineRule="atLeast"/>
              <w:jc w:val="center"/>
              <w:textAlignment w:val="baseline"/>
              <w:rPr>
                <w:rFonts w:cs="Arial"/>
              </w:rPr>
            </w:pPr>
          </w:p>
        </w:tc>
        <w:tc>
          <w:tcPr>
            <w:tcW w:w="1080" w:type="dxa"/>
            <w:hideMark/>
          </w:tcPr>
          <w:p w14:paraId="1E12CEA3" w14:textId="77777777" w:rsidR="00A45CBD" w:rsidRPr="0088404F" w:rsidRDefault="00A45CBD" w:rsidP="00BA1B73">
            <w:pPr>
              <w:suppressAutoHyphens/>
              <w:overflowPunct w:val="0"/>
              <w:spacing w:before="120" w:after="57" w:line="240" w:lineRule="atLeast"/>
              <w:jc w:val="center"/>
              <w:textAlignment w:val="baseline"/>
              <w:rPr>
                <w:rFonts w:cs="Arial"/>
              </w:rPr>
            </w:pPr>
          </w:p>
        </w:tc>
        <w:tc>
          <w:tcPr>
            <w:tcW w:w="1080" w:type="dxa"/>
            <w:hideMark/>
          </w:tcPr>
          <w:p w14:paraId="528DF664" w14:textId="77777777" w:rsidR="00A45CBD" w:rsidRPr="0088404F" w:rsidRDefault="00A45CBD" w:rsidP="00BA1B73">
            <w:pPr>
              <w:suppressAutoHyphens/>
              <w:overflowPunct w:val="0"/>
              <w:spacing w:before="120" w:after="57" w:line="240" w:lineRule="atLeast"/>
              <w:jc w:val="center"/>
              <w:textAlignment w:val="baseline"/>
              <w:rPr>
                <w:rFonts w:cs="Arial"/>
              </w:rPr>
            </w:pPr>
          </w:p>
        </w:tc>
      </w:tr>
      <w:tr w:rsidR="00A45CBD" w:rsidRPr="00D81FA1" w14:paraId="75D9FAC0" w14:textId="77777777" w:rsidTr="00590B74">
        <w:trPr>
          <w:cantSplit/>
          <w:trHeight w:val="422"/>
        </w:trPr>
        <w:tc>
          <w:tcPr>
            <w:tcW w:w="2490" w:type="dxa"/>
            <w:hideMark/>
          </w:tcPr>
          <w:p w14:paraId="40614349" w14:textId="77777777" w:rsidR="00A45CBD" w:rsidRPr="0088404F" w:rsidRDefault="00A45CBD" w:rsidP="00BA1B73">
            <w:pPr>
              <w:suppressAutoHyphens/>
              <w:overflowPunct w:val="0"/>
              <w:spacing w:before="120" w:after="57" w:line="240" w:lineRule="atLeast"/>
              <w:textAlignment w:val="baseline"/>
              <w:rPr>
                <w:rFonts w:cs="Arial"/>
              </w:rPr>
            </w:pPr>
            <w:r w:rsidRPr="0088404F">
              <w:rPr>
                <w:rFonts w:cs="Arial"/>
              </w:rPr>
              <w:t>Councilwoman Triggiano</w:t>
            </w:r>
          </w:p>
        </w:tc>
        <w:tc>
          <w:tcPr>
            <w:tcW w:w="985" w:type="dxa"/>
          </w:tcPr>
          <w:p w14:paraId="6E5F143E" w14:textId="77777777" w:rsidR="00A45CBD" w:rsidRPr="0088404F" w:rsidRDefault="00A45CBD" w:rsidP="00BA1B73">
            <w:pPr>
              <w:suppressAutoHyphens/>
              <w:overflowPunct w:val="0"/>
              <w:spacing w:before="120" w:after="57" w:line="240" w:lineRule="atLeast"/>
              <w:jc w:val="center"/>
              <w:textAlignment w:val="baseline"/>
              <w:rPr>
                <w:rFonts w:cs="Arial"/>
              </w:rPr>
            </w:pPr>
          </w:p>
        </w:tc>
        <w:tc>
          <w:tcPr>
            <w:tcW w:w="810" w:type="dxa"/>
          </w:tcPr>
          <w:p w14:paraId="50988EBA" w14:textId="5F8D306A" w:rsidR="00A45CBD" w:rsidRPr="0088404F" w:rsidRDefault="00493E7E" w:rsidP="00BA1B73">
            <w:pPr>
              <w:suppressAutoHyphens/>
              <w:overflowPunct w:val="0"/>
              <w:spacing w:before="120" w:after="57" w:line="240" w:lineRule="atLeast"/>
              <w:jc w:val="center"/>
              <w:textAlignment w:val="baseline"/>
              <w:rPr>
                <w:rFonts w:cs="Arial"/>
              </w:rPr>
            </w:pPr>
            <w:r>
              <w:rPr>
                <w:rFonts w:cs="Arial"/>
              </w:rPr>
              <w:t>X</w:t>
            </w:r>
          </w:p>
        </w:tc>
        <w:tc>
          <w:tcPr>
            <w:tcW w:w="720" w:type="dxa"/>
            <w:hideMark/>
          </w:tcPr>
          <w:p w14:paraId="07A84752" w14:textId="77777777" w:rsidR="00A45CBD" w:rsidRPr="0088404F" w:rsidRDefault="00A45CBD" w:rsidP="00BA1B73">
            <w:pPr>
              <w:suppressAutoHyphens/>
              <w:overflowPunct w:val="0"/>
              <w:spacing w:before="120" w:after="57" w:line="240" w:lineRule="atLeast"/>
              <w:jc w:val="center"/>
              <w:textAlignment w:val="baseline"/>
              <w:rPr>
                <w:rFonts w:cs="Arial"/>
              </w:rPr>
            </w:pPr>
          </w:p>
        </w:tc>
        <w:tc>
          <w:tcPr>
            <w:tcW w:w="1080" w:type="dxa"/>
            <w:hideMark/>
          </w:tcPr>
          <w:p w14:paraId="5DC4CEC8" w14:textId="77777777" w:rsidR="00A45CBD" w:rsidRPr="0088404F" w:rsidRDefault="00A45CBD" w:rsidP="00BA1B73">
            <w:pPr>
              <w:suppressAutoHyphens/>
              <w:overflowPunct w:val="0"/>
              <w:spacing w:before="120" w:after="57" w:line="240" w:lineRule="atLeast"/>
              <w:jc w:val="center"/>
              <w:textAlignment w:val="baseline"/>
              <w:rPr>
                <w:rFonts w:cs="Arial"/>
              </w:rPr>
            </w:pPr>
          </w:p>
        </w:tc>
        <w:tc>
          <w:tcPr>
            <w:tcW w:w="1080" w:type="dxa"/>
            <w:hideMark/>
          </w:tcPr>
          <w:p w14:paraId="623DBF1F" w14:textId="77777777" w:rsidR="00A45CBD" w:rsidRPr="0088404F" w:rsidRDefault="00A45CBD" w:rsidP="00BA1B73">
            <w:pPr>
              <w:suppressAutoHyphens/>
              <w:overflowPunct w:val="0"/>
              <w:spacing w:before="120" w:after="57" w:line="240" w:lineRule="atLeast"/>
              <w:jc w:val="center"/>
              <w:textAlignment w:val="baseline"/>
              <w:rPr>
                <w:rFonts w:cs="Arial"/>
              </w:rPr>
            </w:pPr>
          </w:p>
        </w:tc>
      </w:tr>
      <w:tr w:rsidR="00A45CBD" w:rsidRPr="00D81FA1" w14:paraId="38213E26" w14:textId="77777777" w:rsidTr="00590B74">
        <w:trPr>
          <w:cantSplit/>
          <w:trHeight w:val="443"/>
        </w:trPr>
        <w:tc>
          <w:tcPr>
            <w:tcW w:w="2490" w:type="dxa"/>
            <w:hideMark/>
          </w:tcPr>
          <w:p w14:paraId="46758692" w14:textId="77777777" w:rsidR="00A45CBD" w:rsidRPr="0088404F" w:rsidRDefault="00A45CBD" w:rsidP="00BA1B73">
            <w:pPr>
              <w:suppressAutoHyphens/>
              <w:overflowPunct w:val="0"/>
              <w:spacing w:before="120" w:after="57" w:line="240" w:lineRule="atLeast"/>
              <w:textAlignment w:val="baseline"/>
              <w:rPr>
                <w:rFonts w:cs="Arial"/>
              </w:rPr>
            </w:pPr>
            <w:r w:rsidRPr="0088404F">
              <w:rPr>
                <w:rFonts w:cs="Arial"/>
              </w:rPr>
              <w:t>Councilman Ballard</w:t>
            </w:r>
          </w:p>
        </w:tc>
        <w:tc>
          <w:tcPr>
            <w:tcW w:w="985" w:type="dxa"/>
          </w:tcPr>
          <w:p w14:paraId="25B85B65" w14:textId="77777777" w:rsidR="00A45CBD" w:rsidRPr="0088404F" w:rsidRDefault="00A45CBD" w:rsidP="00BA1B73">
            <w:pPr>
              <w:suppressAutoHyphens/>
              <w:overflowPunct w:val="0"/>
              <w:spacing w:before="120" w:after="57" w:line="240" w:lineRule="atLeast"/>
              <w:jc w:val="center"/>
              <w:textAlignment w:val="baseline"/>
              <w:rPr>
                <w:rFonts w:cs="Arial"/>
              </w:rPr>
            </w:pPr>
          </w:p>
        </w:tc>
        <w:tc>
          <w:tcPr>
            <w:tcW w:w="810" w:type="dxa"/>
          </w:tcPr>
          <w:p w14:paraId="2C96E8B1" w14:textId="4687460C" w:rsidR="00A45CBD" w:rsidRPr="0088404F" w:rsidRDefault="00493E7E" w:rsidP="00BA1B73">
            <w:pPr>
              <w:suppressAutoHyphens/>
              <w:overflowPunct w:val="0"/>
              <w:spacing w:before="120" w:after="57" w:line="240" w:lineRule="atLeast"/>
              <w:jc w:val="center"/>
              <w:textAlignment w:val="baseline"/>
              <w:rPr>
                <w:rFonts w:cs="Arial"/>
              </w:rPr>
            </w:pPr>
            <w:r>
              <w:rPr>
                <w:rFonts w:cs="Arial"/>
              </w:rPr>
              <w:t>X</w:t>
            </w:r>
          </w:p>
        </w:tc>
        <w:tc>
          <w:tcPr>
            <w:tcW w:w="720" w:type="dxa"/>
            <w:hideMark/>
          </w:tcPr>
          <w:p w14:paraId="34698E37" w14:textId="77777777" w:rsidR="00A45CBD" w:rsidRPr="0088404F" w:rsidRDefault="00A45CBD" w:rsidP="00BA1B73">
            <w:pPr>
              <w:suppressAutoHyphens/>
              <w:overflowPunct w:val="0"/>
              <w:spacing w:before="120" w:after="57" w:line="240" w:lineRule="atLeast"/>
              <w:jc w:val="center"/>
              <w:textAlignment w:val="baseline"/>
              <w:rPr>
                <w:rFonts w:cs="Arial"/>
              </w:rPr>
            </w:pPr>
          </w:p>
        </w:tc>
        <w:tc>
          <w:tcPr>
            <w:tcW w:w="1080" w:type="dxa"/>
            <w:hideMark/>
          </w:tcPr>
          <w:p w14:paraId="5081AB7F" w14:textId="77777777" w:rsidR="00A45CBD" w:rsidRPr="0088404F" w:rsidRDefault="00A45CBD" w:rsidP="00BA1B73">
            <w:pPr>
              <w:suppressAutoHyphens/>
              <w:overflowPunct w:val="0"/>
              <w:spacing w:before="120" w:after="57" w:line="240" w:lineRule="atLeast"/>
              <w:jc w:val="center"/>
              <w:textAlignment w:val="baseline"/>
              <w:rPr>
                <w:rFonts w:cs="Arial"/>
              </w:rPr>
            </w:pPr>
          </w:p>
        </w:tc>
        <w:tc>
          <w:tcPr>
            <w:tcW w:w="1080" w:type="dxa"/>
            <w:hideMark/>
          </w:tcPr>
          <w:p w14:paraId="199D06F9" w14:textId="77777777" w:rsidR="00A45CBD" w:rsidRPr="0088404F" w:rsidRDefault="00A45CBD" w:rsidP="00BA1B73">
            <w:pPr>
              <w:suppressAutoHyphens/>
              <w:overflowPunct w:val="0"/>
              <w:spacing w:before="120" w:after="57" w:line="240" w:lineRule="atLeast"/>
              <w:jc w:val="center"/>
              <w:textAlignment w:val="baseline"/>
              <w:rPr>
                <w:rFonts w:cs="Arial"/>
              </w:rPr>
            </w:pPr>
          </w:p>
        </w:tc>
      </w:tr>
      <w:tr w:rsidR="00A45CBD" w:rsidRPr="00D81FA1" w14:paraId="3C8D217A" w14:textId="77777777" w:rsidTr="00590B74">
        <w:trPr>
          <w:cantSplit/>
          <w:trHeight w:val="443"/>
        </w:trPr>
        <w:tc>
          <w:tcPr>
            <w:tcW w:w="2490" w:type="dxa"/>
            <w:hideMark/>
          </w:tcPr>
          <w:p w14:paraId="6E59FA6A" w14:textId="77777777" w:rsidR="00A45CBD" w:rsidRPr="0088404F" w:rsidRDefault="00A45CBD" w:rsidP="00BA1B73">
            <w:pPr>
              <w:suppressAutoHyphens/>
              <w:overflowPunct w:val="0"/>
              <w:spacing w:before="120" w:after="57" w:line="240" w:lineRule="atLeast"/>
              <w:textAlignment w:val="baseline"/>
              <w:rPr>
                <w:rFonts w:cs="Arial"/>
              </w:rPr>
            </w:pPr>
            <w:r w:rsidRPr="0088404F">
              <w:rPr>
                <w:rFonts w:cs="Arial"/>
              </w:rPr>
              <w:t>Councilman Yngstrom</w:t>
            </w:r>
          </w:p>
        </w:tc>
        <w:tc>
          <w:tcPr>
            <w:tcW w:w="985" w:type="dxa"/>
          </w:tcPr>
          <w:p w14:paraId="0CE8A0B5" w14:textId="77777777" w:rsidR="00A45CBD" w:rsidRPr="0088404F" w:rsidRDefault="00A45CBD" w:rsidP="00BA1B73">
            <w:pPr>
              <w:suppressAutoHyphens/>
              <w:overflowPunct w:val="0"/>
              <w:spacing w:before="120" w:after="57" w:line="240" w:lineRule="atLeast"/>
              <w:jc w:val="center"/>
              <w:textAlignment w:val="baseline"/>
              <w:rPr>
                <w:rFonts w:cs="Arial"/>
              </w:rPr>
            </w:pPr>
          </w:p>
        </w:tc>
        <w:tc>
          <w:tcPr>
            <w:tcW w:w="810" w:type="dxa"/>
          </w:tcPr>
          <w:p w14:paraId="5369FE51" w14:textId="4E9717A5" w:rsidR="00A45CBD" w:rsidRPr="0088404F" w:rsidRDefault="00493E7E" w:rsidP="00BA1B73">
            <w:pPr>
              <w:suppressAutoHyphens/>
              <w:overflowPunct w:val="0"/>
              <w:spacing w:before="120" w:after="57" w:line="240" w:lineRule="atLeast"/>
              <w:jc w:val="center"/>
              <w:textAlignment w:val="baseline"/>
              <w:rPr>
                <w:rFonts w:cs="Arial"/>
              </w:rPr>
            </w:pPr>
            <w:r>
              <w:rPr>
                <w:rFonts w:cs="Arial"/>
              </w:rPr>
              <w:t>X</w:t>
            </w:r>
          </w:p>
        </w:tc>
        <w:tc>
          <w:tcPr>
            <w:tcW w:w="720" w:type="dxa"/>
            <w:hideMark/>
          </w:tcPr>
          <w:p w14:paraId="244E5CF8" w14:textId="77777777" w:rsidR="00A45CBD" w:rsidRPr="0088404F" w:rsidRDefault="00A45CBD" w:rsidP="00BA1B73">
            <w:pPr>
              <w:suppressAutoHyphens/>
              <w:overflowPunct w:val="0"/>
              <w:spacing w:before="120" w:after="57" w:line="240" w:lineRule="atLeast"/>
              <w:jc w:val="center"/>
              <w:textAlignment w:val="baseline"/>
              <w:rPr>
                <w:rFonts w:cs="Arial"/>
              </w:rPr>
            </w:pPr>
          </w:p>
        </w:tc>
        <w:tc>
          <w:tcPr>
            <w:tcW w:w="1080" w:type="dxa"/>
            <w:hideMark/>
          </w:tcPr>
          <w:p w14:paraId="6D514D04" w14:textId="77777777" w:rsidR="00A45CBD" w:rsidRPr="0088404F" w:rsidRDefault="00A45CBD" w:rsidP="00BA1B73">
            <w:pPr>
              <w:suppressAutoHyphens/>
              <w:overflowPunct w:val="0"/>
              <w:spacing w:before="120" w:after="57" w:line="240" w:lineRule="atLeast"/>
              <w:jc w:val="center"/>
              <w:textAlignment w:val="baseline"/>
              <w:rPr>
                <w:rFonts w:cs="Arial"/>
              </w:rPr>
            </w:pPr>
          </w:p>
        </w:tc>
        <w:tc>
          <w:tcPr>
            <w:tcW w:w="1080" w:type="dxa"/>
            <w:hideMark/>
          </w:tcPr>
          <w:p w14:paraId="630471C3" w14:textId="77777777" w:rsidR="00A45CBD" w:rsidRPr="0088404F" w:rsidRDefault="00A45CBD" w:rsidP="00BA1B73">
            <w:pPr>
              <w:suppressAutoHyphens/>
              <w:overflowPunct w:val="0"/>
              <w:spacing w:before="120" w:after="57" w:line="240" w:lineRule="atLeast"/>
              <w:jc w:val="center"/>
              <w:textAlignment w:val="baseline"/>
              <w:rPr>
                <w:rFonts w:cs="Arial"/>
              </w:rPr>
            </w:pPr>
          </w:p>
        </w:tc>
      </w:tr>
      <w:tr w:rsidR="00A45CBD" w:rsidRPr="00D81FA1" w14:paraId="1CC2AED6" w14:textId="77777777" w:rsidTr="00590B74">
        <w:trPr>
          <w:cantSplit/>
          <w:trHeight w:val="422"/>
        </w:trPr>
        <w:tc>
          <w:tcPr>
            <w:tcW w:w="2490" w:type="dxa"/>
            <w:hideMark/>
          </w:tcPr>
          <w:p w14:paraId="0D4A24C8" w14:textId="77777777" w:rsidR="00A45CBD" w:rsidRPr="0088404F" w:rsidRDefault="00A45CBD" w:rsidP="007A50D3">
            <w:pPr>
              <w:suppressAutoHyphens/>
              <w:overflowPunct w:val="0"/>
              <w:spacing w:before="120" w:after="57" w:line="240" w:lineRule="atLeast"/>
              <w:textAlignment w:val="baseline"/>
              <w:rPr>
                <w:rFonts w:cs="Arial"/>
              </w:rPr>
            </w:pPr>
            <w:r w:rsidRPr="0088404F">
              <w:rPr>
                <w:rFonts w:cs="Arial"/>
              </w:rPr>
              <w:t>Councilma</w:t>
            </w:r>
            <w:r>
              <w:rPr>
                <w:rFonts w:cs="Arial"/>
              </w:rPr>
              <w:t>n Zipprich</w:t>
            </w:r>
          </w:p>
        </w:tc>
        <w:tc>
          <w:tcPr>
            <w:tcW w:w="985" w:type="dxa"/>
          </w:tcPr>
          <w:p w14:paraId="7071CFDD" w14:textId="77777777" w:rsidR="00A45CBD" w:rsidRPr="0088404F" w:rsidRDefault="00A45CBD" w:rsidP="00BA1B73">
            <w:pPr>
              <w:suppressAutoHyphens/>
              <w:overflowPunct w:val="0"/>
              <w:spacing w:before="120" w:after="57" w:line="240" w:lineRule="atLeast"/>
              <w:jc w:val="center"/>
              <w:textAlignment w:val="baseline"/>
              <w:rPr>
                <w:rFonts w:cs="Arial"/>
              </w:rPr>
            </w:pPr>
          </w:p>
        </w:tc>
        <w:tc>
          <w:tcPr>
            <w:tcW w:w="810" w:type="dxa"/>
          </w:tcPr>
          <w:p w14:paraId="59404EDD" w14:textId="1572F441" w:rsidR="00A45CBD" w:rsidRPr="0088404F" w:rsidRDefault="00493E7E" w:rsidP="00BA1B73">
            <w:pPr>
              <w:suppressAutoHyphens/>
              <w:overflowPunct w:val="0"/>
              <w:spacing w:before="120" w:after="57" w:line="240" w:lineRule="atLeast"/>
              <w:jc w:val="center"/>
              <w:textAlignment w:val="baseline"/>
              <w:rPr>
                <w:rFonts w:cs="Arial"/>
              </w:rPr>
            </w:pPr>
            <w:r>
              <w:rPr>
                <w:rFonts w:cs="Arial"/>
              </w:rPr>
              <w:t>X</w:t>
            </w:r>
          </w:p>
        </w:tc>
        <w:tc>
          <w:tcPr>
            <w:tcW w:w="720" w:type="dxa"/>
            <w:hideMark/>
          </w:tcPr>
          <w:p w14:paraId="131E5E9D" w14:textId="77777777" w:rsidR="00A45CBD" w:rsidRPr="0088404F" w:rsidRDefault="00A45CBD" w:rsidP="00BA1B73">
            <w:pPr>
              <w:suppressAutoHyphens/>
              <w:overflowPunct w:val="0"/>
              <w:spacing w:before="120" w:after="57" w:line="240" w:lineRule="atLeast"/>
              <w:jc w:val="center"/>
              <w:textAlignment w:val="baseline"/>
              <w:rPr>
                <w:rFonts w:cs="Arial"/>
              </w:rPr>
            </w:pPr>
          </w:p>
        </w:tc>
        <w:tc>
          <w:tcPr>
            <w:tcW w:w="1080" w:type="dxa"/>
            <w:hideMark/>
          </w:tcPr>
          <w:p w14:paraId="0F2056D9" w14:textId="77777777" w:rsidR="00A45CBD" w:rsidRPr="0088404F" w:rsidRDefault="00A45CBD" w:rsidP="00BA1B73">
            <w:pPr>
              <w:suppressAutoHyphens/>
              <w:overflowPunct w:val="0"/>
              <w:spacing w:before="120" w:after="57" w:line="240" w:lineRule="atLeast"/>
              <w:jc w:val="center"/>
              <w:textAlignment w:val="baseline"/>
              <w:rPr>
                <w:rFonts w:cs="Arial"/>
              </w:rPr>
            </w:pPr>
          </w:p>
        </w:tc>
        <w:tc>
          <w:tcPr>
            <w:tcW w:w="1080" w:type="dxa"/>
            <w:hideMark/>
          </w:tcPr>
          <w:p w14:paraId="66B083F1" w14:textId="77777777" w:rsidR="00A45CBD" w:rsidRPr="0088404F" w:rsidRDefault="00A45CBD" w:rsidP="00BA1B73">
            <w:pPr>
              <w:suppressAutoHyphens/>
              <w:overflowPunct w:val="0"/>
              <w:spacing w:before="120" w:after="57" w:line="240" w:lineRule="atLeast"/>
              <w:jc w:val="center"/>
              <w:textAlignment w:val="baseline"/>
              <w:rPr>
                <w:rFonts w:cs="Arial"/>
              </w:rPr>
            </w:pPr>
          </w:p>
        </w:tc>
      </w:tr>
      <w:tr w:rsidR="00A45CBD" w:rsidRPr="00D81FA1" w14:paraId="789EC1EB" w14:textId="77777777" w:rsidTr="00590B74">
        <w:trPr>
          <w:cantSplit/>
          <w:trHeight w:val="534"/>
        </w:trPr>
        <w:tc>
          <w:tcPr>
            <w:tcW w:w="2490" w:type="dxa"/>
            <w:hideMark/>
          </w:tcPr>
          <w:p w14:paraId="73BA0C00" w14:textId="77777777" w:rsidR="00A45CBD" w:rsidRPr="0088404F" w:rsidRDefault="00A45CBD" w:rsidP="00BA1B73">
            <w:pPr>
              <w:suppressAutoHyphens/>
              <w:overflowPunct w:val="0"/>
              <w:spacing w:before="120" w:after="57" w:line="240" w:lineRule="atLeast"/>
              <w:textAlignment w:val="baseline"/>
              <w:rPr>
                <w:rFonts w:cs="Arial"/>
              </w:rPr>
            </w:pPr>
            <w:r w:rsidRPr="0088404F">
              <w:rPr>
                <w:rFonts w:cs="Arial"/>
              </w:rPr>
              <w:t>Councilwoman Horgan</w:t>
            </w:r>
          </w:p>
        </w:tc>
        <w:tc>
          <w:tcPr>
            <w:tcW w:w="985" w:type="dxa"/>
          </w:tcPr>
          <w:p w14:paraId="436B480C" w14:textId="0CE8D20E" w:rsidR="00A45CBD" w:rsidRPr="0088404F" w:rsidRDefault="00FA6DF9" w:rsidP="00BA1B73">
            <w:pPr>
              <w:suppressAutoHyphens/>
              <w:overflowPunct w:val="0"/>
              <w:spacing w:before="120" w:after="57" w:line="240" w:lineRule="atLeast"/>
              <w:jc w:val="center"/>
              <w:textAlignment w:val="baseline"/>
              <w:rPr>
                <w:rFonts w:cs="Arial"/>
              </w:rPr>
            </w:pPr>
            <w:r>
              <w:rPr>
                <w:rFonts w:cs="Arial"/>
              </w:rPr>
              <w:t>Motion</w:t>
            </w:r>
          </w:p>
        </w:tc>
        <w:tc>
          <w:tcPr>
            <w:tcW w:w="810" w:type="dxa"/>
          </w:tcPr>
          <w:p w14:paraId="05B7CB81" w14:textId="2B930476" w:rsidR="00A45CBD" w:rsidRPr="0088404F" w:rsidRDefault="00493E7E" w:rsidP="00BA1B73">
            <w:pPr>
              <w:suppressAutoHyphens/>
              <w:overflowPunct w:val="0"/>
              <w:spacing w:before="120" w:after="57" w:line="240" w:lineRule="atLeast"/>
              <w:jc w:val="center"/>
              <w:textAlignment w:val="baseline"/>
              <w:rPr>
                <w:rFonts w:cs="Arial"/>
              </w:rPr>
            </w:pPr>
            <w:r>
              <w:rPr>
                <w:rFonts w:cs="Arial"/>
              </w:rPr>
              <w:t>X</w:t>
            </w:r>
            <w:bookmarkStart w:id="0" w:name="_GoBack"/>
            <w:bookmarkEnd w:id="0"/>
          </w:p>
        </w:tc>
        <w:tc>
          <w:tcPr>
            <w:tcW w:w="720" w:type="dxa"/>
            <w:hideMark/>
          </w:tcPr>
          <w:p w14:paraId="7706D0DA" w14:textId="77777777" w:rsidR="00A45CBD" w:rsidRPr="0088404F" w:rsidRDefault="00A45CBD" w:rsidP="00BA1B73">
            <w:pPr>
              <w:suppressAutoHyphens/>
              <w:overflowPunct w:val="0"/>
              <w:spacing w:before="120" w:after="57" w:line="240" w:lineRule="atLeast"/>
              <w:jc w:val="center"/>
              <w:textAlignment w:val="baseline"/>
              <w:rPr>
                <w:rFonts w:cs="Arial"/>
              </w:rPr>
            </w:pPr>
          </w:p>
        </w:tc>
        <w:tc>
          <w:tcPr>
            <w:tcW w:w="1080" w:type="dxa"/>
            <w:hideMark/>
          </w:tcPr>
          <w:p w14:paraId="5B8735DA" w14:textId="77777777" w:rsidR="00A45CBD" w:rsidRPr="0088404F" w:rsidRDefault="00A45CBD" w:rsidP="00BA1B73">
            <w:pPr>
              <w:suppressAutoHyphens/>
              <w:overflowPunct w:val="0"/>
              <w:spacing w:before="120" w:after="57" w:line="240" w:lineRule="atLeast"/>
              <w:jc w:val="center"/>
              <w:textAlignment w:val="baseline"/>
              <w:rPr>
                <w:rFonts w:cs="Arial"/>
              </w:rPr>
            </w:pPr>
          </w:p>
        </w:tc>
        <w:tc>
          <w:tcPr>
            <w:tcW w:w="1080" w:type="dxa"/>
            <w:hideMark/>
          </w:tcPr>
          <w:p w14:paraId="6D29D35E" w14:textId="77777777" w:rsidR="00A45CBD" w:rsidRPr="0088404F" w:rsidRDefault="00A45CBD" w:rsidP="00BA1B73">
            <w:pPr>
              <w:suppressAutoHyphens/>
              <w:overflowPunct w:val="0"/>
              <w:spacing w:before="120" w:after="57" w:line="240" w:lineRule="atLeast"/>
              <w:jc w:val="center"/>
              <w:textAlignment w:val="baseline"/>
              <w:rPr>
                <w:rFonts w:cs="Arial"/>
              </w:rPr>
            </w:pPr>
          </w:p>
        </w:tc>
      </w:tr>
    </w:tbl>
    <w:p w14:paraId="7D824F7A" w14:textId="77777777" w:rsidR="00A45CBD" w:rsidRPr="00D81FA1" w:rsidRDefault="00A45CBD" w:rsidP="00BA1B73">
      <w:pPr>
        <w:suppressAutoHyphens/>
        <w:spacing w:line="240" w:lineRule="atLeast"/>
        <w:rPr>
          <w:rFonts w:cs="Arial"/>
          <w:sz w:val="22"/>
          <w:szCs w:val="22"/>
        </w:rPr>
      </w:pPr>
    </w:p>
    <w:p w14:paraId="4A0FBD16" w14:textId="077CFAF3" w:rsidR="002B69D9" w:rsidRDefault="002B69D9" w:rsidP="002B69D9">
      <w:pPr>
        <w:suppressAutoHyphens/>
        <w:spacing w:line="240" w:lineRule="atLeast"/>
        <w:rPr>
          <w:rFonts w:cs="Arial"/>
          <w:sz w:val="22"/>
          <w:szCs w:val="22"/>
        </w:rPr>
      </w:pPr>
      <w:r w:rsidRPr="002B69D9">
        <w:rPr>
          <w:rFonts w:cs="Arial"/>
          <w:sz w:val="22"/>
          <w:szCs w:val="22"/>
        </w:rPr>
        <w:t xml:space="preserve">Introduction: </w:t>
      </w:r>
      <w:r>
        <w:rPr>
          <w:rFonts w:cs="Arial"/>
          <w:sz w:val="22"/>
          <w:szCs w:val="22"/>
        </w:rPr>
        <w:t xml:space="preserve"> July 22, 2020</w:t>
      </w:r>
    </w:p>
    <w:p w14:paraId="21767B27" w14:textId="5D205D96" w:rsidR="00590B74" w:rsidRPr="002B69D9" w:rsidRDefault="00590B74" w:rsidP="002B69D9">
      <w:pPr>
        <w:suppressAutoHyphens/>
        <w:spacing w:line="240" w:lineRule="atLeast"/>
        <w:rPr>
          <w:rFonts w:cs="Arial"/>
          <w:sz w:val="22"/>
          <w:szCs w:val="22"/>
        </w:rPr>
      </w:pPr>
      <w:r>
        <w:rPr>
          <w:rFonts w:cs="Arial"/>
          <w:sz w:val="22"/>
          <w:szCs w:val="22"/>
        </w:rPr>
        <w:t>Public Hearing/Adoption:  August 19, 2020</w:t>
      </w:r>
    </w:p>
    <w:sectPr w:rsidR="00590B74" w:rsidRPr="002B69D9" w:rsidSect="00A45CB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D9"/>
    <w:rsid w:val="002B69D9"/>
    <w:rsid w:val="00493E7E"/>
    <w:rsid w:val="00590B74"/>
    <w:rsid w:val="005E09A2"/>
    <w:rsid w:val="006975E0"/>
    <w:rsid w:val="00935E68"/>
    <w:rsid w:val="00A45CBD"/>
    <w:rsid w:val="00B77992"/>
    <w:rsid w:val="00C00F62"/>
    <w:rsid w:val="00FA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37B3"/>
  <w15:chartTrackingRefBased/>
  <w15:docId w15:val="{D840F021-38B5-4BBC-8128-F7203424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9D9"/>
    <w:pPr>
      <w:widowControl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69D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Cannon</dc:creator>
  <cp:keywords/>
  <dc:description/>
  <cp:lastModifiedBy>Pam Borghi</cp:lastModifiedBy>
  <cp:revision>4</cp:revision>
  <dcterms:created xsi:type="dcterms:W3CDTF">2020-08-15T00:05:00Z</dcterms:created>
  <dcterms:modified xsi:type="dcterms:W3CDTF">2020-08-20T17:10:00Z</dcterms:modified>
</cp:coreProperties>
</file>