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F" w:rsidRDefault="001D66C6" w:rsidP="00144FCB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BOROUGH OF RED BANK</w:t>
      </w:r>
    </w:p>
    <w:p w:rsidR="004B680F" w:rsidRDefault="001D66C6" w:rsidP="00144FCB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COUNTY OF MONMOUTH</w:t>
      </w:r>
    </w:p>
    <w:p w:rsidR="004B680F" w:rsidRPr="006D1AA5" w:rsidRDefault="001D66C6" w:rsidP="00144FCB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RESOLUTION NO. </w:t>
      </w:r>
      <w:r w:rsidR="00144FCB">
        <w:rPr>
          <w:rFonts w:ascii="Arial" w:eastAsia="Arial" w:hAnsi="Arial" w:cs="Arial"/>
          <w:b/>
          <w:sz w:val="22"/>
          <w:szCs w:val="22"/>
        </w:rPr>
        <w:t>19-268</w:t>
      </w:r>
    </w:p>
    <w:p w:rsidR="004B680F" w:rsidRDefault="004B680F">
      <w:pP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4B680F" w:rsidRDefault="001D66C6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 RESOLUTION </w:t>
      </w:r>
      <w:r>
        <w:rPr>
          <w:rFonts w:ascii="Arial" w:eastAsia="Arial" w:hAnsi="Arial" w:cs="Arial"/>
          <w:b/>
          <w:sz w:val="22"/>
          <w:szCs w:val="22"/>
        </w:rPr>
        <w:t>AUTHORIZING THE PURCHASE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405FC">
        <w:rPr>
          <w:rFonts w:ascii="Arial" w:eastAsia="Arial" w:hAnsi="Arial" w:cs="Arial"/>
          <w:b/>
          <w:color w:val="000000"/>
          <w:sz w:val="22"/>
          <w:szCs w:val="22"/>
        </w:rPr>
        <w:t xml:space="preserve">AND INSTALLATION OF ROOFING MATERIALS </w:t>
      </w:r>
      <w:r>
        <w:rPr>
          <w:rFonts w:ascii="Arial" w:eastAsia="Arial" w:hAnsi="Arial" w:cs="Arial"/>
          <w:b/>
          <w:sz w:val="22"/>
          <w:szCs w:val="22"/>
        </w:rPr>
        <w:t>UNDER THE EDUCATIONAL SERVICES COMMISSION OF NEW JERSEY CO</w:t>
      </w:r>
      <w:r>
        <w:rPr>
          <w:rFonts w:ascii="Arial" w:eastAsia="Arial" w:hAnsi="Arial" w:cs="Arial"/>
          <w:b/>
          <w:color w:val="000000"/>
          <w:sz w:val="22"/>
          <w:szCs w:val="22"/>
        </w:rPr>
        <w:t>OPERATIVE PURCHASE AGREEMENT</w:t>
      </w:r>
    </w:p>
    <w:p w:rsidR="004B680F" w:rsidRDefault="004B680F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4B680F" w:rsidRDefault="001D66C6" w:rsidP="009D7A6D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WHEREAS, </w:t>
      </w:r>
      <w:r>
        <w:rPr>
          <w:rFonts w:ascii="Arial" w:eastAsia="Arial" w:hAnsi="Arial" w:cs="Arial"/>
          <w:sz w:val="22"/>
          <w:szCs w:val="22"/>
        </w:rPr>
        <w:t xml:space="preserve">The Borough of Red Bank is permitted to join cooperative purchasing agreements under the authority of N.J.S.A. 5:34-7; and </w:t>
      </w:r>
    </w:p>
    <w:p w:rsidR="004B680F" w:rsidRDefault="001D66C6">
      <w:pP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WHEREAS,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 </w:t>
      </w:r>
      <w:r w:rsidR="008363B5">
        <w:rPr>
          <w:rFonts w:ascii="Arial" w:eastAsia="Arial" w:hAnsi="Arial" w:cs="Arial"/>
          <w:sz w:val="22"/>
          <w:szCs w:val="22"/>
        </w:rPr>
        <w:t>OMNIA Partners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bidding and contract award process meets the criteria as established by the Department of Community Affairs; and</w:t>
      </w:r>
    </w:p>
    <w:p w:rsidR="004B680F" w:rsidRDefault="001D66C6">
      <w:pP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WHEREAS,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The Borough of Red Bank intends to participate in </w:t>
      </w:r>
      <w:r w:rsidR="008363B5">
        <w:rPr>
          <w:rFonts w:ascii="Arial" w:eastAsia="Arial" w:hAnsi="Arial" w:cs="Arial"/>
          <w:color w:val="000000"/>
          <w:sz w:val="22"/>
          <w:szCs w:val="22"/>
        </w:rPr>
        <w:t>the OMNIA Partners Roofing JOC Master Agreement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contract award, specifically contract </w:t>
      </w:r>
      <w:r>
        <w:rPr>
          <w:rFonts w:ascii="Arial" w:eastAsia="Arial" w:hAnsi="Arial" w:cs="Arial"/>
          <w:sz w:val="22"/>
          <w:szCs w:val="22"/>
        </w:rPr>
        <w:t>#</w:t>
      </w:r>
      <w:r w:rsidR="008363B5">
        <w:rPr>
          <w:rFonts w:ascii="Arial" w:eastAsia="Arial" w:hAnsi="Arial" w:cs="Arial"/>
          <w:sz w:val="22"/>
          <w:szCs w:val="22"/>
        </w:rPr>
        <w:t>R180901</w:t>
      </w:r>
      <w:r w:rsidR="008363B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to purchase </w:t>
      </w:r>
      <w:r w:rsidR="008363B5">
        <w:rPr>
          <w:rFonts w:ascii="Arial" w:eastAsia="Arial" w:hAnsi="Arial" w:cs="Arial"/>
          <w:sz w:val="22"/>
          <w:szCs w:val="22"/>
        </w:rPr>
        <w:t xml:space="preserve">Roofing Materials and Installation for </w:t>
      </w:r>
      <w:proofErr w:type="spellStart"/>
      <w:r w:rsidR="008363B5">
        <w:rPr>
          <w:rFonts w:ascii="Arial" w:eastAsia="Arial" w:hAnsi="Arial" w:cs="Arial"/>
          <w:sz w:val="22"/>
          <w:szCs w:val="22"/>
        </w:rPr>
        <w:t>Bodman</w:t>
      </w:r>
      <w:proofErr w:type="spellEnd"/>
      <w:r w:rsidR="008363B5">
        <w:rPr>
          <w:rFonts w:ascii="Arial" w:eastAsia="Arial" w:hAnsi="Arial" w:cs="Arial"/>
          <w:sz w:val="22"/>
          <w:szCs w:val="22"/>
        </w:rPr>
        <w:t xml:space="preserve"> Sewer Pump Station and Tower Hill Water Treatment Plant</w:t>
      </w:r>
      <w:r>
        <w:rPr>
          <w:rFonts w:ascii="Arial" w:eastAsia="Arial" w:hAnsi="Arial" w:cs="Arial"/>
          <w:color w:val="000000"/>
          <w:sz w:val="22"/>
          <w:szCs w:val="22"/>
        </w:rPr>
        <w:t>; and</w:t>
      </w:r>
    </w:p>
    <w:p w:rsidR="004B680F" w:rsidRDefault="001D66C6">
      <w:pPr>
        <w:widowControl w:val="0"/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WHEREAS,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8363B5"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 xml:space="preserve"> is the intent of the Red Bank Borough Purchasing Agent to make a purchase p</w:t>
      </w:r>
      <w:r w:rsidR="008363B5">
        <w:rPr>
          <w:rFonts w:ascii="Arial" w:eastAsia="Arial" w:hAnsi="Arial" w:cs="Arial"/>
          <w:sz w:val="22"/>
          <w:szCs w:val="22"/>
        </w:rPr>
        <w:t>ursuant to said contract award to USA General</w:t>
      </w:r>
      <w:r>
        <w:rPr>
          <w:rFonts w:ascii="Arial" w:eastAsia="Arial" w:hAnsi="Arial" w:cs="Arial"/>
          <w:sz w:val="22"/>
          <w:szCs w:val="22"/>
        </w:rPr>
        <w:t xml:space="preserve"> pursuant to the proposal submitted to the Borough of Red Bank dated June 25, 2019; and</w:t>
      </w:r>
    </w:p>
    <w:p w:rsidR="004B680F" w:rsidRDefault="001D66C6">
      <w:pPr>
        <w:widowControl w:val="0"/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WHEREAS</w:t>
      </w:r>
      <w:r>
        <w:rPr>
          <w:rFonts w:ascii="Arial" w:eastAsia="Arial" w:hAnsi="Arial" w:cs="Arial"/>
          <w:sz w:val="22"/>
          <w:szCs w:val="22"/>
        </w:rPr>
        <w:t xml:space="preserve">, the Director of the Department of Utilities has reviewed the proposal and has determined that said purchase through the </w:t>
      </w:r>
      <w:r w:rsidR="008363B5">
        <w:rPr>
          <w:rFonts w:ascii="Arial" w:eastAsia="Arial" w:hAnsi="Arial" w:cs="Arial"/>
          <w:color w:val="000000"/>
          <w:sz w:val="22"/>
          <w:szCs w:val="22"/>
        </w:rPr>
        <w:t xml:space="preserve">OMNIA Partners Roofing JOC Master Agreement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contract award, contract </w:t>
      </w:r>
      <w:r>
        <w:rPr>
          <w:rFonts w:ascii="Arial" w:eastAsia="Arial" w:hAnsi="Arial" w:cs="Arial"/>
          <w:sz w:val="22"/>
          <w:szCs w:val="22"/>
        </w:rPr>
        <w:t>#</w:t>
      </w:r>
      <w:r w:rsidR="008363B5">
        <w:rPr>
          <w:rFonts w:ascii="Arial" w:eastAsia="Arial" w:hAnsi="Arial" w:cs="Arial"/>
          <w:sz w:val="22"/>
          <w:szCs w:val="22"/>
        </w:rPr>
        <w:t>R180901</w:t>
      </w:r>
      <w:r>
        <w:rPr>
          <w:rFonts w:ascii="Arial" w:eastAsia="Arial" w:hAnsi="Arial" w:cs="Arial"/>
          <w:sz w:val="22"/>
          <w:szCs w:val="22"/>
        </w:rPr>
        <w:t xml:space="preserve"> will result in significant savings to the Borough, and </w:t>
      </w:r>
    </w:p>
    <w:p w:rsidR="009B4813" w:rsidRDefault="009B4813">
      <w:pPr>
        <w:widowControl w:val="0"/>
        <w:spacing w:line="36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 w:rsidRPr="009B4813">
        <w:rPr>
          <w:rFonts w:ascii="Arial" w:eastAsia="Arial" w:hAnsi="Arial" w:cs="Arial"/>
          <w:b/>
          <w:sz w:val="22"/>
          <w:szCs w:val="22"/>
        </w:rPr>
        <w:t xml:space="preserve">WHEREAS, </w:t>
      </w:r>
      <w:r w:rsidRPr="009B4813">
        <w:rPr>
          <w:rFonts w:ascii="Arial" w:eastAsia="Arial" w:hAnsi="Arial" w:cs="Arial"/>
          <w:sz w:val="22"/>
          <w:szCs w:val="22"/>
        </w:rPr>
        <w:t>funds in the amount of $77,500.00 are currently available for this purpose as certified by the Chief Financial Officer in account no(s)</w:t>
      </w:r>
      <w:r>
        <w:rPr>
          <w:rFonts w:ascii="Arial" w:eastAsia="Arial" w:hAnsi="Arial" w:cs="Arial"/>
          <w:sz w:val="22"/>
          <w:szCs w:val="22"/>
        </w:rPr>
        <w:t>:</w:t>
      </w:r>
      <w:r w:rsidRPr="009B4813">
        <w:rPr>
          <w:rFonts w:ascii="Arial" w:eastAsia="Arial" w:hAnsi="Arial" w:cs="Arial"/>
          <w:sz w:val="22"/>
          <w:szCs w:val="22"/>
        </w:rPr>
        <w:t xml:space="preserve"> W-06-14-305-398, </w:t>
      </w:r>
      <w:r w:rsidR="00666B0F" w:rsidRPr="009B4813">
        <w:rPr>
          <w:rFonts w:ascii="Arial" w:eastAsia="Arial" w:hAnsi="Arial" w:cs="Arial"/>
          <w:sz w:val="22"/>
          <w:szCs w:val="22"/>
        </w:rPr>
        <w:t>W-06-14-305-498</w:t>
      </w:r>
      <w:r w:rsidR="00666B0F">
        <w:rPr>
          <w:rFonts w:ascii="Arial" w:eastAsia="Arial" w:hAnsi="Arial" w:cs="Arial"/>
          <w:sz w:val="22"/>
          <w:szCs w:val="22"/>
        </w:rPr>
        <w:t>,</w:t>
      </w:r>
      <w:r w:rsidR="00666B0F" w:rsidRPr="009B4813">
        <w:rPr>
          <w:rFonts w:ascii="Arial" w:eastAsia="Arial" w:hAnsi="Arial" w:cs="Arial"/>
          <w:sz w:val="22"/>
          <w:szCs w:val="22"/>
        </w:rPr>
        <w:t xml:space="preserve"> </w:t>
      </w:r>
      <w:r w:rsidR="00666B0F">
        <w:rPr>
          <w:rFonts w:ascii="Arial" w:eastAsia="Arial" w:hAnsi="Arial" w:cs="Arial"/>
          <w:sz w:val="22"/>
          <w:szCs w:val="22"/>
        </w:rPr>
        <w:t>W-06-16-001-398</w:t>
      </w:r>
      <w:r w:rsidRPr="009B4813">
        <w:rPr>
          <w:rFonts w:ascii="Arial" w:eastAsia="Arial" w:hAnsi="Arial" w:cs="Arial"/>
          <w:sz w:val="22"/>
          <w:szCs w:val="22"/>
        </w:rPr>
        <w:t xml:space="preserve"> and W-06-16-001-498.</w:t>
      </w:r>
      <w:r w:rsidRPr="009B4813">
        <w:rPr>
          <w:rFonts w:ascii="Arial" w:eastAsia="Arial" w:hAnsi="Arial" w:cs="Arial"/>
          <w:b/>
          <w:sz w:val="22"/>
          <w:szCs w:val="22"/>
        </w:rPr>
        <w:t> </w:t>
      </w:r>
    </w:p>
    <w:p w:rsidR="004B680F" w:rsidRDefault="001D66C6">
      <w:pPr>
        <w:widowControl w:val="0"/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D1AA5">
        <w:rPr>
          <w:rFonts w:ascii="Arial" w:eastAsia="Arial" w:hAnsi="Arial" w:cs="Arial"/>
          <w:b/>
          <w:sz w:val="22"/>
          <w:szCs w:val="22"/>
        </w:rPr>
        <w:t>NOW, THEREFORE, BE IT RESOLVED</w:t>
      </w:r>
      <w:r w:rsidRPr="006D1AA5">
        <w:rPr>
          <w:rFonts w:ascii="Arial" w:eastAsia="Arial" w:hAnsi="Arial" w:cs="Arial"/>
          <w:sz w:val="22"/>
          <w:szCs w:val="22"/>
        </w:rPr>
        <w:t xml:space="preserve"> by the Mayor and Council of the Borough of Red Bank that the Purchasing Agent is hereby authorized to authorize the purchase </w:t>
      </w:r>
      <w:r w:rsidR="008363B5" w:rsidRPr="006D1AA5">
        <w:rPr>
          <w:rFonts w:ascii="Arial" w:eastAsia="Arial" w:hAnsi="Arial" w:cs="Arial"/>
          <w:sz w:val="22"/>
          <w:szCs w:val="22"/>
        </w:rPr>
        <w:t xml:space="preserve">Roofing Materials and </w:t>
      </w:r>
      <w:r w:rsidR="008363B5">
        <w:rPr>
          <w:rFonts w:ascii="Arial" w:eastAsia="Arial" w:hAnsi="Arial" w:cs="Arial"/>
          <w:sz w:val="22"/>
          <w:szCs w:val="22"/>
        </w:rPr>
        <w:t xml:space="preserve">Installation for </w:t>
      </w:r>
      <w:proofErr w:type="spellStart"/>
      <w:r w:rsidR="008363B5">
        <w:rPr>
          <w:rFonts w:ascii="Arial" w:eastAsia="Arial" w:hAnsi="Arial" w:cs="Arial"/>
          <w:sz w:val="22"/>
          <w:szCs w:val="22"/>
        </w:rPr>
        <w:t>Bodman</w:t>
      </w:r>
      <w:proofErr w:type="spellEnd"/>
      <w:r w:rsidR="008363B5">
        <w:rPr>
          <w:rFonts w:ascii="Arial" w:eastAsia="Arial" w:hAnsi="Arial" w:cs="Arial"/>
          <w:sz w:val="22"/>
          <w:szCs w:val="22"/>
        </w:rPr>
        <w:t xml:space="preserve"> Sewer Pump Station and Tower Hill Water Treatment Plant</w:t>
      </w:r>
      <w:r>
        <w:rPr>
          <w:rFonts w:ascii="Arial" w:eastAsia="Arial" w:hAnsi="Arial" w:cs="Arial"/>
          <w:sz w:val="22"/>
          <w:szCs w:val="22"/>
        </w:rPr>
        <w:t xml:space="preserve">, through the </w:t>
      </w:r>
      <w:r w:rsidR="008363B5">
        <w:rPr>
          <w:rFonts w:ascii="Arial" w:eastAsia="Arial" w:hAnsi="Arial" w:cs="Arial"/>
          <w:color w:val="000000"/>
          <w:sz w:val="22"/>
          <w:szCs w:val="22"/>
        </w:rPr>
        <w:t>OMNIA Partners Roofing JOC Master Agreement contract award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contract #</w:t>
      </w:r>
      <w:r w:rsidR="008363B5">
        <w:rPr>
          <w:rFonts w:ascii="Arial" w:eastAsia="Arial" w:hAnsi="Arial" w:cs="Arial"/>
          <w:sz w:val="22"/>
          <w:szCs w:val="22"/>
        </w:rPr>
        <w:t>R180901</w:t>
      </w:r>
      <w:r>
        <w:rPr>
          <w:rFonts w:ascii="Arial" w:eastAsia="Arial" w:hAnsi="Arial" w:cs="Arial"/>
          <w:sz w:val="22"/>
          <w:szCs w:val="22"/>
        </w:rPr>
        <w:t xml:space="preserve">, from </w:t>
      </w:r>
      <w:r w:rsidR="008363B5">
        <w:rPr>
          <w:rFonts w:ascii="Arial" w:eastAsia="Arial" w:hAnsi="Arial" w:cs="Arial"/>
          <w:sz w:val="22"/>
          <w:szCs w:val="22"/>
        </w:rPr>
        <w:t>US General</w:t>
      </w:r>
      <w:r>
        <w:rPr>
          <w:rFonts w:ascii="Arial" w:eastAsia="Arial" w:hAnsi="Arial" w:cs="Arial"/>
          <w:sz w:val="22"/>
          <w:szCs w:val="22"/>
        </w:rPr>
        <w:t>, in the amount of $</w:t>
      </w:r>
      <w:r w:rsidR="008363B5">
        <w:rPr>
          <w:rFonts w:ascii="Arial" w:eastAsia="Arial" w:hAnsi="Arial" w:cs="Arial"/>
          <w:sz w:val="22"/>
          <w:szCs w:val="22"/>
        </w:rPr>
        <w:t>77,500.00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set forth in their proposal dated June 25, 2019.</w:t>
      </w:r>
    </w:p>
    <w:p w:rsidR="004B680F" w:rsidRDefault="001D66C6">
      <w:pPr>
        <w:spacing w:line="360" w:lineRule="auto"/>
        <w:ind w:left="0" w:hanging="2"/>
        <w:rPr>
          <w:rFonts w:ascii="Arial" w:eastAsia="Arial" w:hAnsi="Arial" w:cs="Arial"/>
          <w:color w:val="C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BE IT FURTHER RESOLVED </w:t>
      </w:r>
      <w:r>
        <w:rPr>
          <w:rFonts w:ascii="Arial" w:eastAsia="Arial" w:hAnsi="Arial" w:cs="Arial"/>
          <w:sz w:val="22"/>
          <w:szCs w:val="22"/>
        </w:rPr>
        <w:t>that, to the extent applicable, this resolution is further contingent upon the Chief Financial Officer’s Certification of Sufficient Funds.</w:t>
      </w:r>
      <w:r>
        <w:rPr>
          <w:rFonts w:ascii="Arial" w:eastAsia="Arial" w:hAnsi="Arial" w:cs="Arial"/>
          <w:color w:val="7030A0"/>
          <w:sz w:val="22"/>
          <w:szCs w:val="22"/>
        </w:rPr>
        <w:t xml:space="preserve"> </w:t>
      </w:r>
    </w:p>
    <w:p w:rsidR="004B680F" w:rsidRDefault="001D6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632"/>
          <w:tab w:val="left" w:pos="4952"/>
        </w:tabs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BE IT FURTHER RESOLVED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that the Clerk forward a certified true copy of this resolution to the Chief Financial Officer.</w:t>
      </w:r>
    </w:p>
    <w:tbl>
      <w:tblPr>
        <w:tblW w:w="716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89"/>
        <w:gridCol w:w="985"/>
        <w:gridCol w:w="810"/>
        <w:gridCol w:w="720"/>
        <w:gridCol w:w="1080"/>
        <w:gridCol w:w="1080"/>
      </w:tblGrid>
      <w:tr w:rsidR="00F75106" w:rsidTr="00F75106">
        <w:trPr>
          <w:cantSplit/>
          <w:trHeight w:val="42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rPr>
                <w:rFonts w:ascii="Arial" w:hAnsi="Arial" w:cs="Arial"/>
                <w:positio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spacing w:before="120" w:after="57" w:line="240" w:lineRule="atLeast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F75106" w:rsidTr="00F75106">
        <w:trPr>
          <w:cantSplit/>
          <w:trHeight w:val="44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75106" w:rsidTr="00F75106">
        <w:trPr>
          <w:cantSplit/>
          <w:trHeight w:val="42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F75106" w:rsidTr="00F75106">
        <w:trPr>
          <w:cantSplit/>
          <w:trHeight w:val="44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F75106" w:rsidTr="00F75106">
        <w:trPr>
          <w:cantSplit/>
          <w:trHeight w:val="443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F75106" w:rsidTr="00F75106">
        <w:trPr>
          <w:cantSplit/>
          <w:trHeight w:val="42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</w:tr>
      <w:tr w:rsidR="00F75106" w:rsidTr="00F75106">
        <w:trPr>
          <w:cantSplit/>
          <w:trHeight w:val="534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106" w:rsidRDefault="00F75106">
            <w:pPr>
              <w:overflowPunct w:val="0"/>
              <w:spacing w:before="120" w:after="57" w:line="240" w:lineRule="atLeast"/>
              <w:ind w:left="0"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F75106" w:rsidRDefault="00F75106" w:rsidP="00F75106">
      <w:pPr>
        <w:spacing w:line="240" w:lineRule="atLeast"/>
        <w:ind w:left="0" w:hanging="2"/>
        <w:rPr>
          <w:rFonts w:ascii="Arial" w:hAnsi="Arial" w:cs="Arial"/>
          <w:sz w:val="22"/>
          <w:szCs w:val="22"/>
        </w:rPr>
      </w:pPr>
    </w:p>
    <w:p w:rsidR="00F75106" w:rsidRDefault="00F75106" w:rsidP="00F75106">
      <w:pPr>
        <w:spacing w:line="240" w:lineRule="atLeast"/>
        <w:ind w:left="0" w:hanging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Dated:  November 13, 2019</w:t>
      </w:r>
    </w:p>
    <w:p w:rsidR="00F75106" w:rsidRDefault="00F75106" w:rsidP="00F75106">
      <w:pPr>
        <w:spacing w:line="240" w:lineRule="auto"/>
        <w:ind w:left="0" w:hanging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hereby certify the above to be a true copy of a resolution adopted by the Council of the Borough of Red Bank, in the County of Monmouth, at a meeting held on November 13, 2019.</w:t>
      </w:r>
    </w:p>
    <w:p w:rsidR="00F75106" w:rsidRDefault="00F75106" w:rsidP="00F75106">
      <w:pP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:rsidR="00F75106" w:rsidRDefault="00F75106" w:rsidP="00F75106">
      <w:pPr>
        <w:spacing w:line="240" w:lineRule="auto"/>
        <w:ind w:left="2" w:hanging="4"/>
        <w:rPr>
          <w:rFonts w:ascii="Mistral" w:hAnsi="Mistral" w:cs="Arial"/>
          <w:sz w:val="40"/>
          <w:szCs w:val="40"/>
        </w:rPr>
      </w:pPr>
      <w:r>
        <w:rPr>
          <w:rFonts w:ascii="Mistral" w:hAnsi="Mistral" w:cs="Arial"/>
          <w:sz w:val="40"/>
          <w:szCs w:val="40"/>
        </w:rPr>
        <w:t>Pamela Borghi</w:t>
      </w:r>
    </w:p>
    <w:p w:rsidR="00F75106" w:rsidRDefault="00F75106" w:rsidP="00F75106">
      <w:pPr>
        <w:spacing w:line="240" w:lineRule="auto"/>
        <w:ind w:left="0" w:hanging="2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</w:t>
      </w:r>
    </w:p>
    <w:p w:rsidR="00F75106" w:rsidRDefault="00F75106" w:rsidP="00F75106">
      <w:pPr>
        <w:spacing w:line="240" w:lineRule="auto"/>
        <w:ind w:left="0" w:hanging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Pamela Borghi, Municipal Clerk</w:t>
      </w:r>
    </w:p>
    <w:p w:rsidR="004B680F" w:rsidRDefault="004B680F">
      <w:pPr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4B680F" w:rsidRDefault="004B6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rFonts w:ascii="Arial" w:eastAsia="Arial" w:hAnsi="Arial" w:cs="Arial"/>
          <w:color w:val="FF0000"/>
          <w:sz w:val="22"/>
          <w:szCs w:val="22"/>
        </w:rPr>
      </w:pPr>
    </w:p>
    <w:p w:rsidR="004B680F" w:rsidRDefault="004B6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rFonts w:ascii="Arial" w:eastAsia="Arial" w:hAnsi="Arial" w:cs="Arial"/>
          <w:color w:val="00005B"/>
          <w:sz w:val="22"/>
          <w:szCs w:val="22"/>
        </w:rPr>
      </w:pPr>
    </w:p>
    <w:p w:rsidR="004B680F" w:rsidRDefault="004B6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rFonts w:ascii="Arial" w:eastAsia="Arial" w:hAnsi="Arial" w:cs="Arial"/>
          <w:color w:val="00005B"/>
          <w:sz w:val="22"/>
          <w:szCs w:val="22"/>
        </w:rPr>
      </w:pPr>
    </w:p>
    <w:p w:rsidR="004B680F" w:rsidRDefault="004B6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rFonts w:ascii="Arial" w:eastAsia="Arial" w:hAnsi="Arial" w:cs="Arial"/>
          <w:color w:val="00005B"/>
          <w:sz w:val="22"/>
          <w:szCs w:val="22"/>
        </w:rPr>
      </w:pPr>
    </w:p>
    <w:sectPr w:rsidR="004B680F">
      <w:pgSz w:w="12240" w:h="20160"/>
      <w:pgMar w:top="81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0F"/>
    <w:rsid w:val="00144FCB"/>
    <w:rsid w:val="001D66C6"/>
    <w:rsid w:val="004B680F"/>
    <w:rsid w:val="00566C50"/>
    <w:rsid w:val="00666B0F"/>
    <w:rsid w:val="006D1AA5"/>
    <w:rsid w:val="008363B5"/>
    <w:rsid w:val="0092496B"/>
    <w:rsid w:val="009B4813"/>
    <w:rsid w:val="009D7A6D"/>
    <w:rsid w:val="009E5E92"/>
    <w:rsid w:val="00C63647"/>
    <w:rsid w:val="00D405FC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EDE95-0EA8-494C-969C-E369B1FF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632"/>
        <w:tab w:val="left" w:pos="4952"/>
      </w:tabs>
      <w:autoSpaceDE w:val="0"/>
      <w:autoSpaceDN w:val="0"/>
      <w:adjustRightInd w:val="0"/>
      <w:spacing w:line="480" w:lineRule="auto"/>
      <w:ind w:firstLine="632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5B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8/rkbBKtqbv5zcpSYRQsEvoq/A==">AMUW2mWB95YA0bt9On7a/8ryRWSAh6OnX6DfnTlGDlVVUW1d7vYquhq9IEI4QJZFrbNhuE/tPOJsYXezj1xiFxE0u0RfCiOZNyekHGCj5Sd+A+MqNAwY30M=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bank</dc:creator>
  <cp:lastModifiedBy>Pam Borghi</cp:lastModifiedBy>
  <cp:revision>7</cp:revision>
  <dcterms:created xsi:type="dcterms:W3CDTF">2019-11-08T17:37:00Z</dcterms:created>
  <dcterms:modified xsi:type="dcterms:W3CDTF">2019-11-14T23:34:00Z</dcterms:modified>
</cp:coreProperties>
</file>